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Обмеження відповідальності та індемніфікація (взаємна)</w:t>
      </w:r>
    </w:p>
    <w:p>
      <w:pPr>
        <w:spacing w:after="160"/>
        <w:jc w:val="both"/>
      </w:pPr>
      <w:r>
        <w:rPr>
          <w:b/>
          <w:bCs/>
        </w:rPr>
        <w:t xml:space="preserve">Взаємна індемніфікація.</w:t>
      </w:r>
      <w:r>
        <w:t xml:space="preserve"> Кожна сторона (як сторона, що відшкодовує) зобов'язується компенсувати іншій стороні (як відшкодовуваній стороні) всі збитки, що виникають з: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будь-якого провадження, ініційованого третьою стороною або</w:t>
      </w:r>
    </w:p>
    <w:p>
      <w:pPr>
        <w:spacing w:after="160"/>
        <w:jc w:val="both"/>
      </w:pPr>
      <w:r>
        <w:t xml:space="preserve">відшкодовуваною стороною; та - умисних порушень або грубої недбалості сторони, що відшкодовує.</w:t>
      </w:r>
    </w:p>
    <w:p>
      <w:pPr>
        <w:spacing w:after="160"/>
        <w:jc w:val="both"/>
      </w:pPr>
      <w:r>
        <w:rPr>
          <w:b/>
          <w:bCs/>
        </w:rPr>
        <w:t xml:space="preserve">Взаємне обмеження відповідальності.</w:t>
      </w:r>
      <w:r>
        <w:t xml:space="preserve"> Жодна зі сторін не несе відповідальності за збитки від порушення договору, які є віддаленими або які не могли бути розумно передбачені при укладенні цього договору.</w:t>
      </w:r>
    </w:p>
    <w:p>
      <w:pPr>
        <w:spacing w:after="160"/>
        <w:jc w:val="both"/>
      </w:pPr>
      <w:r>
        <w:rPr>
          <w:b/>
          <w:bCs/>
        </w:rPr>
        <w:t xml:space="preserve">Максимальна відповідальність.</w:t>
      </w:r>
      <w:r>
        <w:t xml:space="preserve"> Відповідальність Субпідрядника (або Контрактора у клієнтському договорі) за цим договором не перевищує суму винагороди, сплачену за </w:t>
      </w:r>
      <w:r>
        <w:rPr>
          <w:b/>
          <w:bCs/>
        </w:rPr>
        <w:t xml:space="preserve">12 місяців</w:t>
      </w:r>
      <w:r>
        <w:t xml:space="preserve">, що передують даті виникнення відповідної претензії.</w:t>
      </w:r>
    </w:p>
    <w:p>
      <w:pPr>
        <w:pStyle w:val="Heading2"/>
        <w:spacing w:after="160" w:before="280"/>
      </w:pPr>
      <w:r>
        <w:t xml:space="preserve">Чому саме ці три елементи</w:t>
      </w:r>
    </w:p>
    <w:p>
      <w:pPr>
        <w:spacing w:after="160"/>
        <w:jc w:val="both"/>
      </w:pPr>
      <w:r>
        <w:t xml:space="preserve">Цей пункт складається з трьох шарів захисту, що працюють разом: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Mutual indemnification</w:t>
      </w:r>
      <w:r>
        <w:t xml:space="preserve"> — покриває третьо-сторонні позови</w:t>
      </w:r>
    </w:p>
    <w:p>
      <w:pPr>
        <w:spacing w:after="160"/>
        <w:jc w:val="both"/>
      </w:pPr>
      <w:r>
        <w:t xml:space="preserve">(наприклад, клієнт судиться з нами за наше програмне забезпечення; ми маємо можливість переключити відшкодування на субпідрядника, якщо це його код причинив проблему). 2. </w:t>
      </w:r>
      <w:r>
        <w:rPr>
          <w:b/>
          <w:bCs/>
        </w:rPr>
        <w:t xml:space="preserve">Mutual limit</w:t>
      </w:r>
      <w:r>
        <w:t xml:space="preserve"> — виключає spekulative damages (наприклад, "ми втратили контракт на $10M через вашу затримку у 2 дні" — такі непередбачувані наслідки не покриваються). 3. </w:t>
      </w:r>
      <w:r>
        <w:rPr>
          <w:b/>
          <w:bCs/>
        </w:rPr>
        <w:t xml:space="preserve">Max liability cap</w:t>
      </w:r>
      <w:r>
        <w:t xml:space="preserve"> — hard ceiling на будь-яку відповідальність, прив'язаний до реальних грошей, які рухалися між сторонами.</w:t>
      </w:r>
    </w:p>
    <w:p>
      <w:pPr>
        <w:pStyle w:val="Heading2"/>
        <w:spacing w:after="160" w:before="280"/>
      </w:pPr>
      <w:r>
        <w:t xml:space="preserve">Чому 12 місяців</w:t>
      </w:r>
    </w:p>
    <w:p>
      <w:pPr>
        <w:spacing w:after="160"/>
        <w:jc w:val="both"/>
      </w:pPr>
      <w:r>
        <w:t xml:space="preserve">Це стандарт у IT-сервісному індустрії. Аргумент: відповідальність має бути пропорційна розміру engagement-а. Якщо ми заплатили субпідряднику $100k за рік, максимальна його відповідальність — $100k. Не $1M, не $50k. Це прогнозовано і симетрично.</w:t>
      </w:r>
    </w:p>
    <w:p>
      <w:pPr>
        <w:spacing w:after="160"/>
        <w:jc w:val="both"/>
      </w:pPr>
      <w:r>
        <w:t xml:space="preserve">Деякі клієнти намагаються зменшити cap до 3–6 місяців або до фіксованої суми. У таких випадках треба розуміти, чи це зниження відповідає вартості потенційних ризиків конкретного проекту.</w:t>
      </w:r>
    </w:p>
    <w:p>
      <w:pPr>
        <w:pStyle w:val="Heading2"/>
        <w:spacing w:after="160" w:before="280"/>
      </w:pPr>
      <w:r>
        <w:t xml:space="preserve">Що цей пункт НЕ покриває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Порушення IP.</w:t>
      </w:r>
      <w:r>
        <w:t xml:space="preserve"> Якщо ми передали клієнту код з GPL-залежністю</w:t>
      </w:r>
    </w:p>
    <w:p>
      <w:pPr>
        <w:spacing w:after="160"/>
        <w:jc w:val="both"/>
      </w:pPr>
      <w:r>
        <w:t xml:space="preserve">і клієнт отримав позов від Free Software Foundation — наш cap у 12 місяців fees </w:t>
      </w:r>
      <w:r>
        <w:rPr>
          <w:b/>
          <w:bCs/>
        </w:rPr>
        <w:t xml:space="preserve">не</w:t>
      </w:r>
      <w:r>
        <w:t xml:space="preserve"> обмежує нашу відповідальність за IP-порушення. Це окрема категорія ризику. - </w:t>
      </w:r>
      <w:r>
        <w:rPr>
          <w:b/>
          <w:bCs/>
        </w:rPr>
        <w:t xml:space="preserve">Confidentiality breach.</w:t>
      </w:r>
      <w:r>
        <w:t xml:space="preserve"> Порушення конфіденційності часто виходить за межі mutual limit, бо збитки тут "віддалені за визначенням" — клієнт не може точно обрахувати, скільки коштувала витік. - </w:t>
      </w:r>
      <w:r>
        <w:rPr>
          <w:b/>
          <w:bCs/>
        </w:rPr>
        <w:t xml:space="preserve">Willful misconduct.</w:t>
      </w:r>
      <w:r>
        <w:t xml:space="preserve"> Умисні порушення не обмежуються cap-ом. Це mandatory в багатьох юрисдикціях і записано в пункті індемніфікації.</w:t>
      </w:r>
    </w:p>
    <w:p>
      <w:pPr>
        <w:pStyle w:val="Heading2"/>
        <w:spacing w:after="160" w:before="280"/>
      </w:pPr>
      <w:r>
        <w:t xml:space="preserve">Де використовується</w:t>
      </w:r>
    </w:p>
    <w:p>
      <w:pPr>
        <w:spacing w:after="160"/>
        <w:jc w:val="both"/>
      </w:pPr>
      <w:r>
        <w:t xml:space="preserve">Ідентичний або майже ідентичний пункт присутній у: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Services Agreement Sloboda 2026</w:t>
      </w:r>
    </w:p>
    <w:p>
      <w:pPr>
        <w:spacing w:after="160"/>
        <w:jc w:val="both"/>
      </w:pPr>
      <w:r>
        <w:t xml:space="preserve">Це другий справжній cross-pillar клаз (після Dispute Resolution UK). Зміна cap-у з 12 до 6 місяців — одне редагування, чотири договори оновлюються.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Обмеження відповідальності та індемніфікація (взаємна)</dc:title>
  <dc:creator>Drafters</dc:creator>
  <dc:description>Exported from Drafters — Обмеження відповідальності та індемніфікація (взаємна)</dc:description>
  <cp:lastModifiedBy>Un-named</cp:lastModifiedBy>
  <cp:revision>1</cp:revision>
  <dcterms:created xsi:type="dcterms:W3CDTF">2026-04-09T21:51:24.727Z</dcterms:created>
  <dcterms:modified xsi:type="dcterms:W3CDTF">2026-04-09T21:51:24.727Z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