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Перегляд ставки</w:t>
      </w:r>
    </w:p>
    <w:p>
      <w:pPr>
        <w:spacing w:after="160"/>
        <w:jc w:val="both"/>
      </w:pPr>
      <w:r>
        <w:rPr>
          <w:b/>
          <w:bCs/>
        </w:rPr>
        <w:t xml:space="preserve">Перегляд ставки.</w:t>
      </w:r>
      <w:r>
        <w:t xml:space="preserve"> Субпідрядник може переглядати ставки не частіше ніж раз на </w:t>
      </w:r>
      <w:r>
        <w:rPr>
          <w:b/>
          <w:bCs/>
        </w:rPr>
        <w:t xml:space="preserve">12 місяців</w:t>
      </w:r>
      <w:r>
        <w:t xml:space="preserve">. Підвищення не може перевищувати </w:t>
      </w:r>
      <w:r>
        <w:rPr>
          <w:b/>
          <w:bCs/>
        </w:rPr>
        <w:t xml:space="preserve">10% річних</w:t>
      </w:r>
      <w:r>
        <w:t xml:space="preserve">.</w:t>
      </w:r>
    </w:p>
    <w:p>
      <w:pPr>
        <w:pStyle w:val="Heading2"/>
        <w:spacing w:after="160" w:before="280"/>
      </w:pPr>
      <w:r>
        <w:t xml:space="preserve">Практичні 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Перегляд — не автоматичний. Субпідрядник ініціює його листом.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 можемо не погодитися на підвищення — тоді сторони переходять</w:t>
      </w:r>
    </w:p>
    <w:p>
      <w:pPr>
        <w:spacing w:after="160"/>
        <w:jc w:val="both"/>
      </w:pPr>
      <w:r>
        <w:t xml:space="preserve">до переговорів або завершують договір на поточній ставці. - У client-facing Services Agreement cap часто вищий — до 12%. У субпідрядних — 10%. Це свідома differenceс, яка захищає маржу. - Якщо ставка регулярно переглядається "по маркету" без цього cap-у — ми втрачаємо контроль над собівартістю проекту.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Перегляд ставки</dc:title>
  <dc:creator>Drafters</dc:creator>
  <dc:description>Exported from Drafters — Перегляд ставки</dc:description>
  <cp:lastModifiedBy>Un-named</cp:lastModifiedBy>
  <cp:revision>1</cp:revision>
  <dcterms:created xsi:type="dcterms:W3CDTF">2026-04-09T21:51:24.714Z</dcterms:created>
  <dcterms:modified xsi:type="dcterms:W3CDTF">2026-04-09T21:51:24.714Z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