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6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60"/>
        <w:jc w:val="both"/>
      </w:pPr>
      <w:r>
        <w:t xml:space="preserve">відшкодовуваною стороною; та - умисних порушень або грубої недбалості сторони, що відшкодовує.</w:t>
      </w:r>
    </w:p>
    <w:p>
      <w:pPr>
        <w:spacing w:after="16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6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spacing w:after="160" w:before="280"/>
      </w:pPr>
      <w:r>
        <w:t xml:space="preserve">Чому саме ці три елементи</w:t>
      </w:r>
    </w:p>
    <w:p>
      <w:pPr>
        <w:spacing w:after="16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indemnification</w:t>
      </w:r>
      <w:r>
        <w:t xml:space="preserve"> — покриває третьо-сторонні позови</w:t>
      </w:r>
    </w:p>
    <w:p>
      <w:pPr>
        <w:spacing w:after="160"/>
        <w:jc w:val="both"/>
      </w:pPr>
      <w:r>
        <w:t xml:space="preserve">(наприклад, клієнт судиться з нами за наше програмне забезпечення; ми маємо можливість переключити відшкодування на субпідрядника, якщо це його код причинив проблему). 2. </w:t>
      </w:r>
      <w:r>
        <w:rPr>
          <w:b/>
          <w:bCs/>
        </w:rPr>
        <w:t xml:space="preserve">Mutual limit</w:t>
      </w:r>
      <w:r>
        <w:t xml:space="preserve"> — виключає spekulative damages (наприклад, "ми втратили контракт на $10M через вашу затримку у 2 дні" — такі непередбачувані наслідки не покриваються). 3. </w:t>
      </w:r>
      <w:r>
        <w:rPr>
          <w:b/>
          <w:bCs/>
        </w:rPr>
        <w:t xml:space="preserve">Max liability cap</w:t>
      </w:r>
      <w:r>
        <w:t xml:space="preserve"> — hard ceiling на будь-яку відповідальність, прив'язаний до реальних грошей, які рухалися між сторонами.</w:t>
      </w:r>
    </w:p>
    <w:p>
      <w:pPr>
        <w:pStyle w:val="Heading2"/>
        <w:spacing w:after="160" w:before="280"/>
      </w:pPr>
      <w:r>
        <w:t xml:space="preserve">Чому 12 місяців</w:t>
      </w:r>
    </w:p>
    <w:p>
      <w:pPr>
        <w:spacing w:after="160"/>
        <w:jc w:val="both"/>
      </w:pPr>
      <w:r>
        <w:t xml:space="preserve">Це стандарт у IT-сервісному індустрії. Аргумент: відповідальність має бути пропорційна розміру engagement-а. Якщо ми заплатили субпідряднику $100k за рік, максимальна його відповідальність — $100k. Не $1M, не $50k. Це прогнозовано і симетрично.</w:t>
      </w:r>
    </w:p>
    <w:p>
      <w:pPr>
        <w:spacing w:after="160"/>
        <w:jc w:val="both"/>
      </w:pPr>
      <w:r>
        <w:t xml:space="preserve">Деякі клієнти намагаються зменшити cap до 3–6 місяців або до фіксованої суми. У таких випадках треба розуміти, чи це зниження відповідає вартості потенційних ризиків конкретного проекту.</w:t>
      </w:r>
    </w:p>
    <w:p>
      <w:pPr>
        <w:pStyle w:val="Heading2"/>
        <w:spacing w:after="160" w:before="28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IP.</w:t>
      </w:r>
      <w:r>
        <w:t xml:space="preserve"> Якщо ми передали клієнту код з GPL-залежністю</w:t>
      </w:r>
    </w:p>
    <w:p>
      <w:pPr>
        <w:spacing w:after="160"/>
        <w:jc w:val="both"/>
      </w:pPr>
      <w:r>
        <w:t xml:space="preserve">і клієнт отримав позов від Free Software Foundation — наш cap у 12 місяців fees </w:t>
      </w:r>
      <w:r>
        <w:rPr>
          <w:b/>
          <w:bCs/>
        </w:rPr>
        <w:t xml:space="preserve">не</w:t>
      </w:r>
      <w:r>
        <w:t xml:space="preserve"> обмежує нашу відповідальність за IP-порушення. Це окрема категорія ризику. - </w:t>
      </w:r>
      <w:r>
        <w:rPr>
          <w:b/>
          <w:bCs/>
        </w:rPr>
        <w:t xml:space="preserve">Confidentiality breach.</w:t>
      </w:r>
      <w:r>
        <w:t xml:space="preserve"> Порушення конфіденційності часто виходить за межі mutual limit, бо збитки тут "віддалені за визначенням" — клієнт не може точно обрахувати, скільки коштувала витік. - </w:t>
      </w:r>
      <w:r>
        <w:rPr>
          <w:b/>
          <w:bCs/>
        </w:rPr>
        <w:t xml:space="preserve">Willful misconduct.</w:t>
      </w:r>
      <w:r>
        <w:t xml:space="preserve"> Умисні порушення не обмежуються cap-ом. Це mandatory в багатьох юрисдикціях і записано в пункті індемніфікації.</w:t>
      </w:r>
    </w:p>
    <w:p>
      <w:pPr>
        <w:pStyle w:val="Heading2"/>
        <w:spacing w:after="160" w:before="280"/>
      </w:pPr>
      <w:r>
        <w:t xml:space="preserve">Де використовується</w:t>
      </w:r>
    </w:p>
    <w:p>
      <w:pPr>
        <w:spacing w:after="16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60"/>
        <w:jc w:val="both"/>
      </w:pPr>
      <w:r>
        <w:t xml:space="preserve">Це другий справжній cross-pillar клаз (після Dispute Resolution UK). Зміна cap-у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2026-04-09T21:51:24.763Z</dcterms:created>
  <dcterms:modified xsi:type="dcterms:W3CDTF">2026-04-09T21:51:24.763Z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