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Services Agreement — Sloboda Software GMBH (2026)</w:t>
      </w:r>
    </w:p>
    <w:p>
      <w:pPr>
        <w:spacing w:after="160"/>
        <w:jc w:val="both"/>
      </w:pPr>
      <w:r>
        <w:rPr>
          <w:b/>
          <w:bCs/>
        </w:rPr>
        <w:t xml:space="preserve">Services Agreement</w:t>
      </w:r>
      <w:r>
        <w:t xml:space="preserve"> — основний клієнтський договір Sloboda Software GMBH. Підписується з кожним новим клієнтом перед початком роботи. Цей документ визначає </w:t>
      </w:r>
      <w:r>
        <w:rPr>
          <w:b/>
          <w:bCs/>
        </w:rPr>
        <w:t xml:space="preserve">рамки</w:t>
      </w:r>
      <w:r>
        <w:t xml:space="preserve"> співпраці: як ми працюємо, як виставляємо рахунки, хто володіє результатами і що відбувається при розірванні.</w:t>
      </w:r>
    </w:p>
    <w:p>
      <w:pPr>
        <w:spacing w:after="160"/>
        <w:jc w:val="both"/>
      </w:pPr>
      <w:r>
        <w:t xml:space="preserve">Для операційних параметрів конкретного проекту (response time, support hours, acceptance criteria) — дивіться SLA Template, що прикладається до цього договору як окремий документ.</w:t>
      </w:r>
    </w:p>
    <w:p>
      <w:pPr>
        <w:pStyle w:val="Heading2"/>
        <w:spacing w:after="160" w:before="280"/>
      </w:pPr>
      <w:r>
        <w:t xml:space="preserve">Структура документа</w:t>
      </w:r>
    </w:p>
    <w:p>
      <w:pPr>
        <w:spacing w:after="160"/>
        <w:jc w:val="both"/>
      </w:pPr>
      <w:r>
        <w:t xml:space="preserve">Договір містить 9 пронумерованих розділів: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terms</w:t>
      </w:r>
      <w:r>
        <w:t xml:space="preserve"> — таблиця з послугами, платежами, овертаймом, rate increase (12% річних, вище ніж субпідрядний cap у 10%)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Payments</w:t>
      </w:r>
      <w:r>
        <w:t xml:space="preserve"> — містить Payment Dispute (client-facing) і Late Payments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Non-solicitation</w:t>
      </w:r>
      <w:r>
        <w:t xml:space="preserve"> — 1 рік після завершення, Customer не переманює наших людей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Deliverables and IP</w:t>
      </w:r>
      <w:r>
        <w:t xml:space="preserve"> — див. Client IP Assignment з rolling-transfer логікою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Publicity</w:t>
      </w:r>
      <w:r>
        <w:t xml:space="preserve"> — ми можемо згадувати клієнта в кейсах з його письмової згоди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Effect of termination</w:t>
      </w:r>
      <w:r>
        <w:t xml:space="preserve"> — payment obligations, handover, survival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Limitation of liability and indemnification</w:t>
      </w:r>
      <w:r>
        <w:t xml:space="preserve"> — mutual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Dispute resolution</w:t>
      </w:r>
      <w:r>
        <w:t xml:space="preserve"> — див. Dispute Resolution UK (England and Wales, 60 днів)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Signatures</w:t>
      </w:r>
      <w:r>
        <w:t xml:space="preserve"> + Attachment A (Rate sheet у EUR)</w:t>
      </w:r>
    </w:p>
    <w:p>
      <w:pPr>
        <w:pStyle w:val="Heading2"/>
        <w:spacing w:after="160" w:before="280"/>
      </w:pPr>
      <w:r>
        <w:t xml:space="preserve">Ключові параметри, у яких цей договір відрізняється від субпідрядних</w:t>
      </w:r>
    </w:p>
    <w:p>
      <w:pPr>
        <w:spacing w:after="160"/>
        <w:jc w:val="both"/>
      </w:pPr>
      <w:r>
        <w:t xml:space="preserve">| Параметр | Services Agreement | Subcontract Dev 2026 | | :---- | :---- | :---- | | Платіжний цикл | </w:t>
      </w:r>
      <w:r>
        <w:rPr>
          <w:b/>
          <w:bCs/>
        </w:rPr>
        <w:t xml:space="preserve">Prepayment</w:t>
      </w:r>
      <w:r>
        <w:t xml:space="preserve"> (передоплата) | Post-payment | | Invoicing період | 15 днів на оплату | 21 день | | Rate increase cap | </w:t>
      </w:r>
      <w:r>
        <w:rPr>
          <w:b/>
          <w:bCs/>
        </w:rPr>
        <w:t xml:space="preserve">12%</w:t>
      </w:r>
      <w:r>
        <w:t xml:space="preserve"> річних | 10% річних | | Overtime | 2× rate (з approval) | Без множника, тільки з approval | | Late payments | </w:t>
      </w:r>
      <w:r>
        <w:rPr>
          <w:b/>
          <w:bCs/>
        </w:rPr>
        <w:t xml:space="preserve">0.5% / день</w:t>
      </w:r>
      <w:r>
        <w:t xml:space="preserve"> відсотки | — | | IP transfer timing | Rolling, під час оплат | Exclusively after full payment | | На розірвання | Передаємо all finished + unfinished paid | — | | Maximum liability | Fees за останні 6–12 міс. | Fees за останні 12 міс. |</w:t>
      </w:r>
    </w:p>
    <w:p>
      <w:pPr>
        <w:spacing w:after="160"/>
        <w:jc w:val="both"/>
      </w:pPr>
      <w:r>
        <w:rPr>
          <w:b/>
          <w:bCs/>
        </w:rPr>
        <w:t xml:space="preserve">Свідома differenceс у cap на rate increase</w:t>
      </w:r>
      <w:r>
        <w:t xml:space="preserve"> — 12% client-facing vs 10% subcontract. Це захист маржі: якщо ринок стрибає і ми піднімаємо клієнту на 12%, а субпідрядник просить собі 10% — у нас залишається 2% буфер.</w:t>
      </w:r>
    </w:p>
    <w:p>
      <w:pPr>
        <w:pStyle w:val="Heading2"/>
        <w:spacing w:after="160" w:before="280"/>
      </w:pPr>
      <w:r>
        <w:t xml:space="preserve">Цей документ — частина workflow клієнтського онбордингу</w:t>
      </w:r>
    </w:p>
    <w:p>
      <w:pPr>
        <w:spacing w:after="160"/>
        <w:jc w:val="both"/>
      </w:pPr>
      <w:r>
        <w:t xml:space="preserve">Підписання Services Agreement — це </w:t>
      </w:r>
      <w:r>
        <w:rPr>
          <w:b/>
          <w:bCs/>
        </w:rPr>
        <w:t xml:space="preserve">крок 4</w:t>
      </w:r>
      <w:r>
        <w:t xml:space="preserve"> процесу онбордингу клієнта. Попередні кроки: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Кваліфікація ліда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Discovery-сесія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Підписання NDA General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Узгодження SoW + підписання цього Services Agreement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Kick-off meeting + team staffing</w:t>
      </w:r>
    </w:p>
    <w:p>
      <w:pPr>
        <w:pStyle w:val="Heading2"/>
        <w:spacing w:after="160" w:before="280"/>
      </w:pPr>
      <w:r>
        <w:t xml:space="preserve">Що зазвичай обговорюється на переговорах</w:t>
      </w:r>
    </w:p>
    <w:p>
      <w:pPr>
        <w:spacing w:after="160"/>
        <w:jc w:val="both"/>
      </w:pPr>
      <w:r>
        <w:t xml:space="preserve">Великі клієнти майже завжди просять: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Більший cap на rate increase</w:t>
      </w:r>
      <w:r>
        <w:t xml:space="preserve"> — до 15%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Довші payment terms</w:t>
      </w:r>
      <w:r>
        <w:t xml:space="preserve"> — 30 або 45 днів замість 15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Нижчий late payments rate</w:t>
      </w:r>
      <w:r>
        <w:t xml:space="preserve"> — 0.25%/день замість 0.5%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Прибрати Late Payments зовсім</w:t>
      </w:r>
      <w:r>
        <w:t xml:space="preserve"> — у великих ентерпрайзах це</w:t>
      </w:r>
    </w:p>
    <w:p>
      <w:pPr>
        <w:spacing w:after="160"/>
        <w:jc w:val="both"/>
      </w:pPr>
      <w:r>
        <w:t xml:space="preserve">"не наш процес" - </w:t>
      </w:r>
      <w:r>
        <w:rPr>
          <w:b/>
          <w:bCs/>
        </w:rPr>
        <w:t xml:space="preserve">Rolling → milestone IP transfer</w:t>
      </w:r>
      <w:r>
        <w:t xml:space="preserve"> — поступовий transfer по milestone, не по платежу - </w:t>
      </w:r>
      <w:r>
        <w:rPr>
          <w:b/>
          <w:bCs/>
        </w:rPr>
        <w:t xml:space="preserve">Maximum liability cap</w:t>
      </w:r>
      <w:r>
        <w:t xml:space="preserve"> — фіксована сума (€50k, €100k), не % від fees - </w:t>
      </w:r>
      <w:r>
        <w:rPr>
          <w:b/>
          <w:bCs/>
        </w:rPr>
        <w:t xml:space="preserve">Non-solicitation geography</w:t>
      </w:r>
      <w:r>
        <w:t xml:space="preserve"> — географічне обмеження</w:t>
      </w:r>
    </w:p>
    <w:p>
      <w:pPr>
        <w:spacing w:after="160"/>
        <w:jc w:val="both"/>
      </w:pPr>
      <w:r>
        <w:t xml:space="preserve">Переговори координуються через Account Manager і Legal. Head of Delivery підтверджує delivery-capacity і team staffing.</w:t>
      </w:r>
    </w:p>
    <w:p>
      <w:pPr>
        <w:pStyle w:val="Heading2"/>
        <w:spacing w:after="160" w:before="280"/>
      </w:pPr>
      <w:r>
        <w:t xml:space="preserve">Джерело</w:t>
      </w:r>
    </w:p>
    <w:p>
      <w:pPr>
        <w:spacing w:after="160"/>
        <w:jc w:val="both"/>
      </w:pPr>
      <w:r>
        <w:t xml:space="preserve">Services agreement for client — Sloboda Software GMBH (Aug 2025, reviewed by Legal).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Drafters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Agreement — Sloboda Software GMBH (2026)</dc:title>
  <dc:creator>Drafters</dc:creator>
  <dc:description>Exported from Drafters — Services Agreement — Sloboda Software GMBH (2026)</dc:description>
  <cp:lastModifiedBy>Un-named</cp:lastModifiedBy>
  <cp:revision>1</cp:revision>
  <dcterms:created xsi:type="dcterms:W3CDTF">2026-04-09T21:51:24.568Z</dcterms:created>
  <dcterms:modified xsi:type="dcterms:W3CDTF">2026-04-09T21:51:24.568Z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