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Відшкодування витрат</w:t>
      </w:r>
    </w:p>
    <w:p>
      <w:pPr>
        <w:spacing w:after="180"/>
        <w:jc w:val="both"/>
      </w:pPr>
      <w:r>
        <w:rPr>
          <w:b/>
          <w:bCs/>
        </w:rPr>
        <w:t xml:space="preserve">Reimbursable Expenses.</w:t>
      </w:r>
      <w:r>
        <w:t xml:space="preserve"> The Customer shall reimburse the Contractor for reasonable, pre-approved expenses incurred in connection with the Services. Expenses exceeding </w:t>
      </w:r>
      <w:r>
        <w:rPr>
          <w:b/>
          <w:bCs/>
        </w:rPr>
        <w:t xml:space="preserve">€500</w:t>
      </w:r>
      <w:r>
        <w:t xml:space="preserve"> per item require the Customer's prior written approval.</w:t>
      </w:r>
    </w:p>
    <w:p>
      <w:pPr>
        <w:spacing w:after="180"/>
        <w:jc w:val="both"/>
      </w:pPr>
      <w:r>
        <w:rPr>
          <w:b/>
          <w:bCs/>
        </w:rPr>
        <w:t xml:space="preserve">Categories.</w:t>
      </w:r>
      <w:r>
        <w:t xml:space="preserve"> Typical reimbursable expenses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Travel and accommodation (pre-approved business trips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Software licenses and cloud infrastructure costs incurred</w:t>
      </w:r>
    </w:p>
    <w:p>
      <w:pPr>
        <w:spacing w:after="180"/>
        <w:jc w:val="both"/>
      </w:pPr>
      <w:r>
        <w:t xml:space="preserve">specifically for the Customer's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 purchased at the Customer's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services engaged with the Customer's approval</w:t>
      </w:r>
    </w:p>
    <w:p>
      <w:pPr>
        <w:spacing w:after="180"/>
        <w:jc w:val="both"/>
      </w:pPr>
      <w:r>
        <w:rPr>
          <w:b/>
          <w:bCs/>
        </w:rPr>
        <w:t xml:space="preserve">Documentation.</w:t>
      </w:r>
      <w:r>
        <w:t xml:space="preserve"> The Contractor shall submit expense reports monthly, accompanied by original receipts or equivalent documentation. Expense reports are due within </w:t>
      </w:r>
      <w:r>
        <w:rPr>
          <w:b/>
          <w:bCs/>
        </w:rPr>
        <w:t xml:space="preserve">ten (10) business days</w:t>
      </w:r>
      <w:r>
        <w:t xml:space="preserve"> of the end of each calendar month.</w:t>
      </w:r>
    </w:p>
    <w:p>
      <w:pPr>
        <w:spacing w:after="180"/>
        <w:jc w:val="both"/>
      </w:pPr>
      <w:r>
        <w:rPr>
          <w:b/>
          <w:bCs/>
        </w:rPr>
        <w:t xml:space="preserve">Payment.</w:t>
      </w:r>
      <w:r>
        <w:t xml:space="preserve"> Approved expenses are included in the next regular invoice and are subject to the same payment terms as service fees.</w:t>
      </w:r>
    </w:p>
    <w:p>
      <w:pPr>
        <w:spacing w:after="180"/>
        <w:jc w:val="both"/>
      </w:pPr>
      <w:r>
        <w:rPr>
          <w:b/>
          <w:bCs/>
        </w:rPr>
        <w:t xml:space="preserve">Non-Reimbursable.</w:t>
      </w:r>
      <w:r>
        <w:t xml:space="preserve"> The following are not reimbursable unless explicitly agreed in writing: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overhead (office space, utilities, internet)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training and 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used across multiple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Penalties, fines, or charges resulting from the Contractor's</w:t>
      </w:r>
    </w:p>
    <w:p>
      <w:pPr>
        <w:spacing w:after="180"/>
        <w:jc w:val="both"/>
      </w:pPr>
      <w:r>
        <w:t xml:space="preserve">negligence</w:t>
      </w:r>
    </w:p>
    <w:p>
      <w:pPr>
        <w:pStyle w:val="Heading2"/>
        <w:keepNext/>
        <w:spacing w:after="180" w:before="360"/>
      </w:pPr>
      <w:r>
        <w:t xml:space="preserve">How this clause works in practice</w:t>
      </w:r>
    </w:p>
    <w:p>
      <w:pPr>
        <w:spacing w:after="180"/>
        <w:jc w:val="both"/>
      </w:pPr>
      <w:r>
        <w:t xml:space="preserve">Expense reimbursement is clean in theory but messy in execution. The €500 pre-approval threshold is calibrated to catch significant costs (flights, licenses) without creating friction on small ones (a €30 domain registration).</w:t>
      </w:r>
    </w:p>
    <w:p>
      <w:pPr>
        <w:spacing w:after="180"/>
        <w:jc w:val="both"/>
      </w:pPr>
      <w:r>
        <w:t xml:space="preserve">Monthly reconciliation prevents the "surprise invoice six months later" problem — expenses are current and auditable.</w:t>
      </w:r>
    </w:p>
    <w:p>
      <w:pPr>
        <w:pStyle w:val="Heading2"/>
        <w:keepNext/>
        <w:spacing w:after="180" w:before="360"/>
      </w:pPr>
      <w:r>
        <w:t xml:space="preserve">Where this clause appears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&amp; Materials — the primary consumer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used in fixed-price (expenses are baked into the project fee)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used in dedicated team (expenses are part of the retainer)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Відшкодування витрат</dc:title>
  <dc:creator>Drafters</dc:creator>
  <dc:description>Exported from Drafters — Відшкодування витрат</dc:description>
  <cp:lastModifiedBy>Un-named</cp:lastModifiedBy>
  <cp:revision>1</cp:revision>
  <dcterms:created xsi:type="dcterms:W3CDTF">2026-04-16T09:11:34.813Z</dcterms:created>
  <dcterms:modified xsi:type="dcterms:W3CDTF">2026-04-16T09:11:34.813Z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