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Договір виділеної команди</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Dedicated Team Agreement</w:t>
      </w:r>
    </w:p>
    <w:p>
      <w:pPr>
        <w:spacing w:after="180"/>
        <w:jc w:val="both"/>
      </w:pPr>
      <w:r>
        <w:rPr>
          <w:b/>
          <w:bCs/>
        </w:rPr>
        <w:t xml:space="preserve">Start date:</w:t>
      </w:r>
      <w:r>
        <w:t xml:space="preserve"> ___________</w:t>
      </w:r>
    </w:p>
    <w:p>
      <w:pPr>
        <w:spacing w:after="180"/>
        <w:jc w:val="both"/>
      </w:pPr>
      <w:r>
        <w:rPr>
          <w:b/>
          <w:bCs/>
        </w:rPr>
        <w:t xml:space="preserve">Contractor:</w:t>
      </w:r>
      <w:r>
        <w:t xml:space="preserve"> </w:t>
      </w:r>
      <w:r>
        <w:rPr>
          <w:b/>
          <w:bCs/>
        </w:rPr>
        <w:t xml:space="preserve">Acme Services GmbH</w:t>
      </w:r>
      <w:r>
        <w:t xml:space="preserve">, a company incorporated under the laws of the Federal Republic of Germany, Registry code </w:t>
      </w:r>
      <w:r>
        <w:rPr>
          <w:b/>
          <w:bCs/>
        </w:rPr>
        <w:t xml:space="preserve">HRB123456X</w:t>
      </w:r>
      <w:r>
        <w:t xml:space="preserve">, VAT ID </w:t>
      </w:r>
      <w:r>
        <w:rPr>
          <w:b/>
          <w:bCs/>
        </w:rPr>
        <w:t xml:space="preserve">DE999888777</w:t>
      </w:r>
      <w:r>
        <w:t xml:space="preserve">, with its registered address at Musterstraße 1, Berlin, 10115, Germany, represented by its Director [Director Name] (hereinafter the "</w:t>
      </w:r>
      <w:r>
        <w:rPr>
          <w:b/>
          <w:bCs/>
        </w:rPr>
        <w:t xml:space="preserve">Contractor</w:t>
      </w:r>
      <w:r>
        <w:t xml:space="preserve">").</w:t>
      </w:r>
    </w:p>
    <w:p>
      <w:pPr>
        <w:spacing w:after="180"/>
        <w:jc w:val="both"/>
      </w:pPr>
      <w:r>
        <w:rPr>
          <w:b/>
          <w:bCs/>
        </w:rPr>
        <w:t xml:space="preserve">Customer:</w:t>
      </w:r>
      <w:r>
        <w:t xml:space="preserve"> ___________ (hereinafter the "</w:t>
      </w:r>
      <w:r>
        <w:rPr>
          <w:b/>
          <w:bCs/>
        </w:rPr>
        <w:t xml:space="preserve">Customer</w:t>
      </w:r>
      <w:r>
        <w:t xml:space="preserve">").</w:t>
      </w:r>
    </w:p>
    <w:p>
      <w:pPr>
        <w:spacing w:after="180"/>
        <w:jc w:val="both"/>
      </w:pPr>
      <w:r>
        <w:rPr>
          <w:b/>
          <w:bCs/>
        </w:rPr>
        <w:t xml:space="preserve">Whereas</w:t>
      </w:r>
      <w:r>
        <w:t xml:space="preserve"> the Customer desires to engage a dedicated team of professionals provided by the Contractor to work exclusively on the Customer's project under the Customer's direction, and the Contractor agrees to provide such a team subject to the terms below.</w:t>
      </w:r>
    </w:p>
    <w:p>
      <w:pPr>
        <w:pBdr>
          <w:left w:val="single" w:color="B8C2F5" w:sz="12" w:space="8"/>
        </w:pBdr>
        <w:spacing w:after="160" w:before="120"/>
        <w:ind w:left="400"/>
      </w:pPr>
      <w:r>
        <w:rPr>
          <w:i/>
          <w:iCs/>
          <w:color w:val="555555"/>
        </w:rPr>
        <w:t xml:space="preserve">**Переговорний бриф — Dedicated Team**  **Модель:** щомісячний ретейнер за виділений headcount. Клієнт платить за committed capacity, не за години — це ключова відмінність від T&amp;M.  **Наша сильна позиція:** передбачуваність бюджету для клієнта, глибоке занурення команди в продукт, низька плинність. Dedicated Team — це не аутстаф, а партнерство.  **Типові точки тиску від клієнтів:** - Replacement SLA: хочуть 5-10 робочих днів замість 15. Ми тримаємо 15, бо якість підбору важливіша за швидкість. - Ramp-down notice: хочуть 14 днів замість 30. Поступка можлива для команд 5+, але не менше 20 днів. - Vacancy cost: хочуть 100% знижку (не платити за вакансію). Ми даємо 50% — бо тримаємо бенч для швидкої заміни. - Term: хочуть month-to-month. Ми тримаємо 12 місяців — інакше не окупається онбординг. - Overtime premium: enterprise-клієнти хочуть прибрати 125%. Не поступаємось — це захист команди.  **Стратегія:** поступайся на ramp-down (до 20 днів) та headcount flexibility, тримай replacement SLA, term та overtime. Vacancy cost — останній козир для закриття угоди.</w:t>
      </w:r>
    </w:p>
    <w:p>
      <w:pPr>
        <w:pStyle w:val="Heading2"/>
        <w:keepNext/>
        <w:spacing w:after="180" w:before="360"/>
      </w:pPr>
      <w:r>
        <w:t xml:space="preserve">1. Key Terms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Parameter</w:t>
            </w:r>
          </w:p>
        </w:tc>
        <w:tc>
          <w:tcPr>
            <w:tcW w:type="pct" w:w="50%"/>
            <w:shd w:fill="EEE9D4" w:val="clear"/>
            <w:tcMar>
              <w:top w:type="dxa" w:w="80"/>
              <w:left w:type="dxa" w:w="120"/>
              <w:bottom w:type="dxa" w:w="80"/>
              <w:right w:type="dxa" w:w="120"/>
            </w:tcMar>
          </w:tcPr>
          <w:p>
            <w:pPr>
              <w:spacing w:after="60" w:before="60"/>
            </w:pPr>
            <w:r>
              <w:rPr>
                <w:b/>
                <w:bCs/>
                <w:sz w:val="20"/>
                <w:szCs w:val="20"/>
              </w:rPr>
              <w:t xml:space="preserve">Value</w:t>
            </w:r>
          </w:p>
        </w:tc>
      </w:tr>
      <w:tr>
        <w:tc>
          <w:tcPr>
            <w:tcW w:type="pct" w:w="50%"/>
            <w:tcMar>
              <w:top w:type="dxa" w:w="80"/>
              <w:left w:type="dxa" w:w="120"/>
              <w:bottom w:type="dxa" w:w="80"/>
              <w:right w:type="dxa" w:w="120"/>
            </w:tcMar>
          </w:tcPr>
          <w:p>
            <w:pPr>
              <w:spacing w:after="60" w:before="60"/>
            </w:pPr>
            <w:r>
              <w:rPr>
                <w:b/>
                <w:bCs/>
                <w:sz w:val="20"/>
                <w:szCs w:val="20"/>
              </w:rPr>
              <w:t xml:space="preserve">Service model</w:t>
            </w:r>
          </w:p>
        </w:tc>
        <w:tc>
          <w:tcPr>
            <w:tcW w:type="pct" w:w="50%"/>
            <w:tcMar>
              <w:top w:type="dxa" w:w="80"/>
              <w:left w:type="dxa" w:w="120"/>
              <w:bottom w:type="dxa" w:w="80"/>
              <w:right w:type="dxa" w:w="120"/>
            </w:tcMar>
          </w:tcPr>
          <w:p>
            <w:pPr>
              <w:spacing w:after="60" w:before="60"/>
            </w:pPr>
            <w:r>
              <w:rPr>
                <w:b/>
                <w:bCs/>
                <w:sz w:val="20"/>
                <w:szCs w:val="20"/>
              </w:rPr>
              <w:t xml:space="preserve">Dedicated Team</w:t>
            </w:r>
            <w:r>
              <w:rPr>
                <w:b w:val="false"/>
                <w:bCs w:val="false"/>
                <w:sz w:val="20"/>
                <w:szCs w:val="20"/>
              </w:rPr>
              <w:t xml:space="preserve"> — monthly retainer for committed headcount</w:t>
            </w:r>
          </w:p>
        </w:tc>
      </w:tr>
      <w:tr>
        <w:tc>
          <w:tcPr>
            <w:tcW w:type="pct" w:w="50%"/>
            <w:tcMar>
              <w:top w:type="dxa" w:w="80"/>
              <w:left w:type="dxa" w:w="120"/>
              <w:bottom w:type="dxa" w:w="80"/>
              <w:right w:type="dxa" w:w="120"/>
            </w:tcMar>
          </w:tcPr>
          <w:p>
            <w:pPr>
              <w:spacing w:after="60" w:before="60"/>
            </w:pPr>
            <w:r>
              <w:rPr>
                <w:b/>
                <w:bCs/>
                <w:sz w:val="20"/>
                <w:szCs w:val="20"/>
              </w:rPr>
              <w:t xml:space="preserve">Team size</w:t>
            </w:r>
          </w:p>
        </w:tc>
        <w:tc>
          <w:tcPr>
            <w:tcW w:type="pct" w:w="50%"/>
            <w:tcMar>
              <w:top w:type="dxa" w:w="80"/>
              <w:left w:type="dxa" w:w="120"/>
              <w:bottom w:type="dxa" w:w="80"/>
              <w:right w:type="dxa" w:w="120"/>
            </w:tcMar>
          </w:tcPr>
          <w:p>
            <w:pPr>
              <w:spacing w:after="60" w:before="60"/>
            </w:pPr>
            <w:r>
              <w:rPr>
                <w:b w:val="false"/>
                <w:bCs w:val="false"/>
                <w:sz w:val="20"/>
                <w:szCs w:val="20"/>
              </w:rPr>
              <w:t xml:space="preserve">As specified in the Team Plan (Attachment A)</w:t>
            </w:r>
          </w:p>
        </w:tc>
      </w:tr>
      <w:tr>
        <w:tc>
          <w:tcPr>
            <w:tcW w:type="pct" w:w="50%"/>
            <w:tcMar>
              <w:top w:type="dxa" w:w="80"/>
              <w:left w:type="dxa" w:w="120"/>
              <w:bottom w:type="dxa" w:w="80"/>
              <w:right w:type="dxa" w:w="120"/>
            </w:tcMar>
          </w:tcPr>
          <w:p>
            <w:pPr>
              <w:spacing w:after="60" w:before="60"/>
            </w:pPr>
            <w:r>
              <w:rPr>
                <w:b/>
                <w:bCs/>
                <w:sz w:val="20"/>
                <w:szCs w:val="20"/>
              </w:rPr>
              <w:t xml:space="preserve">Invoicing</w:t>
            </w:r>
          </w:p>
        </w:tc>
        <w:tc>
          <w:tcPr>
            <w:tcW w:type="pct" w:w="50%"/>
            <w:tcMar>
              <w:top w:type="dxa" w:w="80"/>
              <w:left w:type="dxa" w:w="120"/>
              <w:bottom w:type="dxa" w:w="80"/>
              <w:right w:type="dxa" w:w="120"/>
            </w:tcMar>
          </w:tcPr>
          <w:p>
            <w:pPr>
              <w:spacing w:after="60" w:before="60"/>
            </w:pPr>
            <w:r>
              <w:rPr>
                <w:b w:val="false"/>
                <w:bCs w:val="false"/>
                <w:sz w:val="20"/>
                <w:szCs w:val="20"/>
              </w:rPr>
              <w:t xml:space="preserve">First business day of each month. Due within </w:t>
            </w:r>
            <w:r>
              <w:rPr>
                <w:b/>
                <w:bCs/>
                <w:sz w:val="20"/>
                <w:szCs w:val="20"/>
              </w:rPr>
              <w:t xml:space="preserve">15 calendar days</w:t>
            </w:r>
            <w:r>
              <w:rPr>
                <w:b w:val="false"/>
                <w:bCs w:val="false"/>
                <w:sz w:val="20"/>
                <w:szCs w:val="20"/>
              </w:rPr>
              <w:t xml:space="preserve">.</w:t>
            </w:r>
          </w:p>
        </w:tc>
      </w:tr>
      <w:tr>
        <w:tc>
          <w:tcPr>
            <w:tcW w:type="pct" w:w="50%"/>
            <w:tcMar>
              <w:top w:type="dxa" w:w="80"/>
              <w:left w:type="dxa" w:w="120"/>
              <w:bottom w:type="dxa" w:w="80"/>
              <w:right w:type="dxa" w:w="120"/>
            </w:tcMar>
          </w:tcPr>
          <w:p>
            <w:pPr>
              <w:spacing w:after="60" w:before="60"/>
            </w:pPr>
            <w:r>
              <w:rPr>
                <w:b/>
                <w:bCs/>
                <w:sz w:val="20"/>
                <w:szCs w:val="20"/>
              </w:rPr>
              <w:t xml:space="preserve">Ramp-up period</w:t>
            </w:r>
          </w:p>
        </w:tc>
        <w:tc>
          <w:tcPr>
            <w:tcW w:type="pct" w:w="50%"/>
            <w:tcMar>
              <w:top w:type="dxa" w:w="80"/>
              <w:left w:type="dxa" w:w="120"/>
              <w:bottom w:type="dxa" w:w="80"/>
              <w:right w:type="dxa" w:w="120"/>
            </w:tcMar>
          </w:tcPr>
          <w:p>
            <w:pPr>
              <w:spacing w:after="60" w:before="60"/>
            </w:pPr>
            <w:r>
              <w:rPr>
                <w:b/>
                <w:bCs/>
                <w:sz w:val="20"/>
                <w:szCs w:val="20"/>
              </w:rPr>
              <w:t xml:space="preserve">30 calendar days</w:t>
            </w:r>
            <w:r>
              <w:rPr>
                <w:b w:val="false"/>
                <w:bCs w:val="false"/>
                <w:sz w:val="20"/>
                <w:szCs w:val="20"/>
              </w:rPr>
              <w:t xml:space="preserve"> from effective date</w:t>
            </w:r>
          </w:p>
        </w:tc>
      </w:tr>
      <w:tr>
        <w:tc>
          <w:tcPr>
            <w:tcW w:type="pct" w:w="50%"/>
            <w:tcMar>
              <w:top w:type="dxa" w:w="80"/>
              <w:left w:type="dxa" w:w="120"/>
              <w:bottom w:type="dxa" w:w="80"/>
              <w:right w:type="dxa" w:w="120"/>
            </w:tcMar>
          </w:tcPr>
          <w:p>
            <w:pPr>
              <w:spacing w:after="60" w:before="60"/>
            </w:pPr>
            <w:r>
              <w:rPr>
                <w:b/>
                <w:bCs/>
                <w:sz w:val="20"/>
                <w:szCs w:val="20"/>
              </w:rPr>
              <w:t xml:space="preserve">Ramp-down notice</w:t>
            </w:r>
          </w:p>
        </w:tc>
        <w:tc>
          <w:tcPr>
            <w:tcW w:type="pct" w:w="50%"/>
            <w:tcMar>
              <w:top w:type="dxa" w:w="80"/>
              <w:left w:type="dxa" w:w="120"/>
              <w:bottom w:type="dxa" w:w="80"/>
              <w:right w:type="dxa" w:w="120"/>
            </w:tcMar>
          </w:tcPr>
          <w:p>
            <w:pPr>
              <w:spacing w:after="60" w:before="60"/>
            </w:pPr>
            <w:r>
              <w:rPr>
                <w:b/>
                <w:bCs/>
                <w:sz w:val="20"/>
                <w:szCs w:val="20"/>
              </w:rPr>
              <w:t xml:space="preserve">30 calendar days</w:t>
            </w:r>
            <w:r>
              <w:rPr>
                <w:b w:val="false"/>
                <w:bCs w:val="false"/>
                <w:sz w:val="20"/>
                <w:szCs w:val="20"/>
              </w:rPr>
              <w:t xml:space="preserve"> per team member</w:t>
            </w:r>
          </w:p>
        </w:tc>
      </w:tr>
      <w:tr>
        <w:tc>
          <w:tcPr>
            <w:tcW w:type="pct" w:w="50%"/>
            <w:tcMar>
              <w:top w:type="dxa" w:w="80"/>
              <w:left w:type="dxa" w:w="120"/>
              <w:bottom w:type="dxa" w:w="80"/>
              <w:right w:type="dxa" w:w="120"/>
            </w:tcMar>
          </w:tcPr>
          <w:p>
            <w:pPr>
              <w:spacing w:after="60" w:before="60"/>
            </w:pPr>
            <w:r>
              <w:rPr>
                <w:b/>
                <w:bCs/>
                <w:sz w:val="20"/>
                <w:szCs w:val="20"/>
              </w:rPr>
              <w:t xml:space="preserve">Replacement SLA</w:t>
            </w:r>
          </w:p>
        </w:tc>
        <w:tc>
          <w:tcPr>
            <w:tcW w:type="pct" w:w="50%"/>
            <w:tcMar>
              <w:top w:type="dxa" w:w="80"/>
              <w:left w:type="dxa" w:w="120"/>
              <w:bottom w:type="dxa" w:w="80"/>
              <w:right w:type="dxa" w:w="120"/>
            </w:tcMar>
          </w:tcPr>
          <w:p>
            <w:pPr>
              <w:spacing w:after="60" w:before="60"/>
            </w:pPr>
            <w:r>
              <w:rPr>
                <w:b/>
                <w:bCs/>
                <w:sz w:val="20"/>
                <w:szCs w:val="20"/>
              </w:rPr>
              <w:t xml:space="preserve">15 business days</w:t>
            </w:r>
            <w:r>
              <w:rPr>
                <w:b w:val="false"/>
                <w:bCs w:val="false"/>
                <w:sz w:val="20"/>
                <w:szCs w:val="20"/>
              </w:rPr>
              <w:t xml:space="preserve"> for any vacancy</w:t>
            </w:r>
          </w:p>
        </w:tc>
      </w:tr>
      <w:tr>
        <w:tc>
          <w:tcPr>
            <w:tcW w:type="pct" w:w="50%"/>
            <w:tcMar>
              <w:top w:type="dxa" w:w="80"/>
              <w:left w:type="dxa" w:w="120"/>
              <w:bottom w:type="dxa" w:w="80"/>
              <w:right w:type="dxa" w:w="120"/>
            </w:tcMar>
          </w:tcPr>
          <w:p>
            <w:pPr>
              <w:spacing w:after="60" w:before="60"/>
            </w:pPr>
            <w:r>
              <w:rPr>
                <w:b/>
                <w:bCs/>
                <w:sz w:val="20"/>
                <w:szCs w:val="20"/>
              </w:rPr>
              <w:t xml:space="preserve">Working hours</w:t>
            </w:r>
          </w:p>
        </w:tc>
        <w:tc>
          <w:tcPr>
            <w:tcW w:type="pct" w:w="50%"/>
            <w:tcMar>
              <w:top w:type="dxa" w:w="80"/>
              <w:left w:type="dxa" w:w="120"/>
              <w:bottom w:type="dxa" w:w="80"/>
              <w:right w:type="dxa" w:w="120"/>
            </w:tcMar>
          </w:tcPr>
          <w:p>
            <w:pPr>
              <w:spacing w:after="60" w:before="60"/>
            </w:pPr>
            <w:r>
              <w:rPr>
                <w:b w:val="false"/>
                <w:bCs w:val="false"/>
                <w:sz w:val="20"/>
                <w:szCs w:val="20"/>
              </w:rPr>
              <w:t xml:space="preserve">As defined in the Team Plan (Attachment A)</w:t>
            </w:r>
          </w:p>
        </w:tc>
      </w:tr>
      <w:tr>
        <w:tc>
          <w:tcPr>
            <w:tcW w:type="pct" w:w="50%"/>
            <w:tcMar>
              <w:top w:type="dxa" w:w="80"/>
              <w:left w:type="dxa" w:w="120"/>
              <w:bottom w:type="dxa" w:w="80"/>
              <w:right w:type="dxa" w:w="120"/>
            </w:tcMar>
          </w:tcPr>
          <w:p>
            <w:pPr>
              <w:spacing w:after="60" w:before="60"/>
            </w:pPr>
            <w:r>
              <w:rPr>
                <w:b/>
                <w:bCs/>
                <w:sz w:val="20"/>
                <w:szCs w:val="20"/>
              </w:rPr>
              <w:t xml:space="preserve">Overtime</w:t>
            </w:r>
          </w:p>
        </w:tc>
        <w:tc>
          <w:tcPr>
            <w:tcW w:type="pct" w:w="50%"/>
            <w:tcMar>
              <w:top w:type="dxa" w:w="80"/>
              <w:left w:type="dxa" w:w="120"/>
              <w:bottom w:type="dxa" w:w="80"/>
              <w:right w:type="dxa" w:w="120"/>
            </w:tcMar>
          </w:tcPr>
          <w:p>
            <w:pPr>
              <w:spacing w:after="60" w:before="60"/>
            </w:pPr>
            <w:r>
              <w:rPr>
                <w:b w:val="false"/>
                <w:bCs w:val="false"/>
                <w:sz w:val="20"/>
                <w:szCs w:val="20"/>
              </w:rPr>
              <w:t xml:space="preserve">125% of standard rate, requires prior written approval</w:t>
            </w:r>
          </w:p>
        </w:tc>
      </w:tr>
      <w:tr>
        <w:tc>
          <w:tcPr>
            <w:tcW w:type="pct" w:w="50%"/>
            <w:tcMar>
              <w:top w:type="dxa" w:w="80"/>
              <w:left w:type="dxa" w:w="120"/>
              <w:bottom w:type="dxa" w:w="80"/>
              <w:right w:type="dxa" w:w="120"/>
            </w:tcMar>
          </w:tcPr>
          <w:p>
            <w:pPr>
              <w:spacing w:after="60" w:before="60"/>
            </w:pPr>
            <w:r>
              <w:rPr>
                <w:b/>
                <w:bCs/>
                <w:sz w:val="20"/>
                <w:szCs w:val="20"/>
              </w:rPr>
              <w:t xml:space="preserve">Term</w:t>
            </w:r>
          </w:p>
        </w:tc>
        <w:tc>
          <w:tcPr>
            <w:tcW w:type="pct" w:w="50%"/>
            <w:tcMar>
              <w:top w:type="dxa" w:w="80"/>
              <w:left w:type="dxa" w:w="120"/>
              <w:bottom w:type="dxa" w:w="80"/>
              <w:right w:type="dxa" w:w="120"/>
            </w:tcMar>
          </w:tcPr>
          <w:p>
            <w:pPr>
              <w:spacing w:after="60" w:before="60"/>
            </w:pPr>
            <w:r>
              <w:rPr>
                <w:b/>
                <w:bCs/>
                <w:sz w:val="20"/>
                <w:szCs w:val="20"/>
              </w:rPr>
              <w:t xml:space="preserve">12 months</w:t>
            </w:r>
            <w:r>
              <w:rPr>
                <w:b w:val="false"/>
                <w:bCs w:val="false"/>
                <w:sz w:val="20"/>
                <w:szCs w:val="20"/>
              </w:rPr>
              <w:t xml:space="preserve">, auto-renewing annually unless either party provides </w:t>
            </w:r>
            <w:r>
              <w:rPr>
                <w:b/>
                <w:bCs/>
                <w:sz w:val="20"/>
                <w:szCs w:val="20"/>
              </w:rPr>
              <w:t xml:space="preserve">60 days</w:t>
            </w:r>
            <w:r>
              <w:rPr>
                <w:b w:val="false"/>
                <w:bCs w:val="false"/>
                <w:sz w:val="20"/>
                <w:szCs w:val="20"/>
              </w:rPr>
              <w:t xml:space="preserve"> notice</w:t>
            </w:r>
          </w:p>
        </w:tc>
      </w:tr>
    </w:tbl>
    <w:p>
      <w:pPr>
        <w:spacing w:after="160" w:before="0"/>
      </w:pPr>
      <w:r>
        <w:t xml:space="preserve"/>
      </w:r>
    </w:p>
    <w:p>
      <w:pPr>
        <w:spacing w:after="180"/>
        <w:jc w:val="both"/>
      </w:pPr>
      <w:r>
        <w:t xml:space="preserve">&lt;Voice voice="legal"&gt;Replacement SLA 15 робочих днів — це зобов'язання засобів (best effort), не результату. Якщо клієнт наполягає на penalty за прострочення заміни — відмовляємо: ми не контролюємо ринок кандидатів. Auto-renewal 12 місяців з 60-денним notice — стандарт; якщо клієнт просить month-to-month, це фактично відсутність commitment, що робить SLA на ramp-up безглуздим.&lt;/Voice&gt;</w:t>
      </w:r>
    </w:p>
    <w:p>
      <w:pPr>
        <w:spacing w:after="180"/>
        <w:jc w:val="both"/>
      </w:pPr>
      <w:r>
        <w:t xml:space="preserve">&lt;Voice voice="business"&gt;Щомісячний ретейнер дає передбачуваний revenue pipeline — але headcount flexibility працює проти нас. Якщо клієнт може зняти людину з 30-денним notice, а ми onboard'или її 30 днів — маржа на перший квартал нульова. Ramp-down 30 днів — це мінімум для break-even на recruiting cost. Overtime 125% — не прибуток, а компенсація вигоряння команди; enterprise-клієнти, які хочуть прибрати premium, насправді хочуть необмежений овертайм безкоштовно.&lt;/Voice&gt;</w:t>
      </w:r>
    </w:p>
    <w:p>
      <w:pPr>
        <w:spacing w:after="180"/>
        <w:jc w:val="both"/>
      </w:pPr>
      <w:r>
        <w:t xml:space="preserve">&lt;Voice voice="negotiations"&gt;Коли клієнт тисне на Replacement SLA (хоче 10 або 5 днів) — аргумент: "Ми можемо поставити когось за 5 днів, але якість підбору впаде. 15 днів — це час знайти людину, яка залишиться з вами на роки, а не на місяці." На vacancy cost 50%: "Ми тримаємо bench-спеціалістів саме для швидкої заміни — ці 50% фінансують цю готовність." Term 12 місяців: "Ми інвестуємо в онбординг команди під ваш продукт. При month-to-month ми не можемо гарантувати таку ж глибину занурення."&lt;/Voice&gt;</w:t>
      </w:r>
    </w:p>
    <w:p>
      <w:pPr>
        <w:spacing w:after="180"/>
        <w:jc w:val="both"/>
      </w:pPr>
      <w:r>
        <w:t xml:space="preserve">&lt;Voice voice="delivery"&gt;Ramp-up period 30 днів — реалістичний для senior-позицій, але tight для нішевих стеків. Якщо Team Plan включає рідкісні спеціалізації, варто обговорити extended ramp-up заздалегідь. Working hours з Team Plan мають враховувати timezone overlap з клієнтом — мінімум 4 години перетину, інакше async-комунікація вбиває productivity.&lt;/Voice&gt;</w:t>
      </w:r>
    </w:p>
    <w:p>
      <w:pPr>
        <w:spacing w:after="180"/>
        <w:jc w:val="both"/>
      </w:pPr>
      <w:r>
        <w:t xml:space="preserve">&lt;Voice voice="interaction"&gt;Key Terms задають framework для всього контракту: Replacement SLA зв'язаний з Dedicated Team Terms (секція 2), Payment прив'язаний до monthly retainer з Team Plan, а Term визначає scope Non-Solicitation (секція 4 — "1 year after termination" рахується від закінчення Term). Overtime rate тут має збігатися з тим, що в Team Plan.&lt;/Voice&gt;</w:t>
      </w:r>
    </w:p>
    <w:p>
      <w:pPr>
        <w:pStyle w:val="Heading2"/>
        <w:keepNext/>
        <w:spacing w:after="180" w:before="360"/>
      </w:pPr>
      <w:r>
        <w:t xml:space="preserve">2. Team Composition and Management</w:t>
      </w:r>
    </w:p>
    <w:p>
      <w:pPr>
        <w:spacing w:after="180"/>
        <w:jc w:val="both"/>
      </w:pPr>
      <w:r>
        <w:rPr>
          <w:b/>
          <w:bCs/>
        </w:rPr>
        <w:t xml:space="preserve">Team Composition.</w:t>
      </w:r>
      <w:r>
        <w:t xml:space="preserve"> The Contractor shall provide a dedicated team of the size and skill profile specified in the applicable Team Plan annexed to this Agreement. The team works exclusively on the Customer's project during the agreed working hours.</w:t>
      </w:r>
    </w:p>
    <w:p>
      <w:pPr>
        <w:spacing w:after="180"/>
        <w:jc w:val="both"/>
      </w:pPr>
      <w:r>
        <w:rPr>
          <w:b/>
          <w:bCs/>
        </w:rPr>
        <w:t xml:space="preserve">Monthly Retainer.</w:t>
      </w:r>
      <w:r>
        <w:t xml:space="preserve"> The Customer shall pay a fixed monthly retainer for the agreed headcount, invoiced on the first business day of each calendar month and due within </w:t>
      </w:r>
      <w:r>
        <w:rPr>
          <w:b/>
          <w:bCs/>
        </w:rPr>
        <w:t xml:space="preserve">fifteen (15) calendar days</w:t>
      </w:r>
      <w:r>
        <w:t xml:space="preserve">. The retainer covers standard working hours as defined in the Team Plan.</w:t>
      </w:r>
    </w:p>
    <w:p>
      <w:pPr>
        <w:spacing w:after="180"/>
        <w:jc w:val="both"/>
      </w:pPr>
      <w:r>
        <w:rPr>
          <w:b/>
          <w:bCs/>
        </w:rPr>
        <w:t xml:space="preserve">Ramp-Up.</w:t>
      </w:r>
      <w:r>
        <w:t xml:space="preserve"> The Contractor shall use commercially reasonable efforts to fill the agreed positions within </w:t>
      </w:r>
      <w:r>
        <w:rPr>
          <w:b/>
          <w:bCs/>
        </w:rPr>
        <w:t xml:space="preserve">thirty (30) calendar days</w:t>
      </w:r>
      <w:r>
        <w:t xml:space="preserve"> of the effective date. Partial months during ramp-up are prorated by calendar day.</w:t>
      </w:r>
    </w:p>
    <w:p>
      <w:pPr>
        <w:spacing w:after="180"/>
        <w:jc w:val="both"/>
      </w:pPr>
      <w:r>
        <w:rPr>
          <w:b/>
          <w:bCs/>
        </w:rPr>
        <w:t xml:space="preserve">Ramp-Down.</w:t>
      </w:r>
      <w:r>
        <w:t xml:space="preserve"> Either party may reduce the team size by providing </w:t>
      </w:r>
      <w:r>
        <w:rPr>
          <w:b/>
          <w:bCs/>
        </w:rPr>
        <w:t xml:space="preserve">thirty (30) days</w:t>
      </w:r>
      <w:r>
        <w:t xml:space="preserve"> written notice per team member to be removed. The retainer adjusts from the first day of the next calendar month following the notice period.</w:t>
      </w:r>
    </w:p>
    <w:p>
      <w:pPr>
        <w:spacing w:after="180"/>
        <w:jc w:val="both"/>
      </w:pPr>
      <w:r>
        <w:rPr>
          <w:b/>
          <w:bCs/>
        </w:rPr>
        <w:t xml:space="preserve">Replacement Guarantee.</w:t>
      </w:r>
      <w:r>
        <w:t xml:space="preserve"> If a team member becomes unavailable (resignation, illness, or performance issue), the Contractor shall provide a replacement of comparable skill within </w:t>
      </w:r>
      <w:r>
        <w:rPr>
          <w:b/>
          <w:bCs/>
        </w:rPr>
        <w:t xml:space="preserve">fifteen (15) business days</w:t>
      </w:r>
      <w:r>
        <w:t xml:space="preserve">. During the vacancy period, the retainer for that position is reduced by </w:t>
      </w:r>
      <w:r>
        <w:rPr>
          <w:b/>
          <w:bCs/>
        </w:rPr>
        <w:t xml:space="preserve">50%</w:t>
      </w:r>
      <w:r>
        <w:t xml:space="preserve">.</w:t>
      </w:r>
    </w:p>
    <w:p>
      <w:pPr>
        <w:spacing w:after="180"/>
        <w:jc w:val="both"/>
      </w:pPr>
      <w:r>
        <w:rPr>
          <w:b/>
          <w:bCs/>
        </w:rPr>
        <w:t xml:space="preserve">Performance Reviews.</w:t>
      </w:r>
      <w:r>
        <w:t xml:space="preserve"> The Customer may request a performance review for any team member at any time. If the Customer reasonably determines that a team member does not meet the required skill level, the Contractor shall replace that member within </w:t>
      </w:r>
      <w:r>
        <w:rPr>
          <w:b/>
          <w:bCs/>
        </w:rPr>
        <w:t xml:space="preserve">fifteen (15) business days</w:t>
      </w:r>
      <w:r>
        <w:t xml:space="preserve"> of written notice.</w:t>
      </w:r>
    </w:p>
    <w:p>
      <w:pPr>
        <w:spacing w:after="180"/>
        <w:jc w:val="both"/>
      </w:pPr>
      <w:r>
        <w:rPr>
          <w:b/>
          <w:bCs/>
        </w:rPr>
        <w:t xml:space="preserve">Overtime.</w:t>
      </w:r>
      <w:r>
        <w:t xml:space="preserve"> Work beyond the standard hours defined in the Team Plan requires prior written approval from the Customer and is billed at </w:t>
      </w:r>
      <w:r>
        <w:rPr>
          <w:b/>
          <w:bCs/>
        </w:rPr>
        <w:t xml:space="preserve">125%</w:t>
      </w:r>
      <w:r>
        <w:t xml:space="preserve"> of the standard hourly rate derived from the monthly retainer.</w:t>
      </w:r>
    </w:p>
    <w:p>
      <w:pPr>
        <w:pStyle w:val="Heading2"/>
        <w:keepNext/>
        <w:spacing w:after="180" w:before="360"/>
      </w:pPr>
      <w:r>
        <w:t xml:space="preserve">How this clause works in practice</w:t>
      </w:r>
    </w:p>
    <w:p>
      <w:pPr>
        <w:spacing w:after="180"/>
        <w:jc w:val="both"/>
      </w:pPr>
      <w:r>
        <w:t xml:space="preserve">The dedicated-team model is a middle ground between staff augmentation (pure hourly billing) and project-based delivery (fixed scope). The monthly retainer gives the client cost predictability while the replacement guarantee gives them quality assurance.</w:t>
      </w:r>
    </w:p>
    <w:p>
      <w:pPr>
        <w:spacing w:after="180"/>
        <w:jc w:val="both"/>
      </w:pPr>
      <w:r>
        <w:t xml:space="preserve">The 50% vacancy reduction is deliberately generous to the client — it incentivizes the contractor to fill vacancies fast rather than collect full retainer during gaps.</w:t>
      </w:r>
    </w:p>
    <w:p>
      <w:pPr>
        <w:pStyle w:val="Heading2"/>
        <w:keepNext/>
        <w:spacing w:after="180" w:before="360"/>
      </w:pPr>
      <w:r>
        <w:t xml:space="preserve">Where this clause appears</w:t>
      </w:r>
    </w:p>
    <w:p>
      <w:pPr>
        <w:pStyle w:val="ListParagraph"/>
        <w:numPr>
          <w:ilvl w:val="0"/>
          <w:numId w:val="1"/>
        </w:numPr>
        <w:spacing w:after="60"/>
      </w:pPr>
      <w:r>
        <w:t xml:space="preserve">Dedicated Team — the primary agreement</w:t>
      </w:r>
    </w:p>
    <w:p>
      <w:pPr>
        <w:pStyle w:val="ListParagraph"/>
        <w:numPr>
          <w:ilvl w:val="0"/>
          <w:numId w:val="1"/>
        </w:numPr>
        <w:spacing w:after="60"/>
      </w:pPr>
      <w:r>
        <w:t xml:space="preserve">Not used in T&amp;M or SoW engagements (different billing models)</w:t>
      </w:r>
    </w:p>
    <w:p>
      <w:pPr>
        <w:spacing w:after="180"/>
        <w:jc w:val="both"/>
      </w:pPr>
      <w:r>
        <w:t xml:space="preserve">&lt;Voice voice="legal"&gt;Право клієнта на performance review та заміну спеціалістів не повинно перетворюватись на "fire at will" — потрібен documented process з feedback period (мінімум 2 тижні). Якщо клієнт хоче instant removal right, це ознака, що вони сприймають команду як аутстаф, а не dedicated team. Vacancy reduction (50%) — компромісна формула; 100% reduction створює moral hazard: клієнт може штучно "звільняти" людей для cost saving.&lt;/Voice&gt;</w:t>
      </w:r>
    </w:p>
    <w:p>
      <w:pPr>
        <w:spacing w:after="180"/>
        <w:jc w:val="both"/>
      </w:pPr>
      <w:r>
        <w:t xml:space="preserve">&lt;Voice voice="business"&gt;Headcount flexibility — найгостріший комерційний пункт. Кожна людина в Team Plan — це committed revenue; якщо клієнт може зняти 2 з 5 людей за 30 днів, ми втрачаємо 40% revenue з мінімальним часом на перерозподіл. Формула: мінімальний committed headcount = 60% від початкового Team Plan. Vacancy 50% reduction — це не знижка, це вартість утримання bench-готовності.&lt;/Voice&gt;</w:t>
      </w:r>
    </w:p>
    <w:p>
      <w:pPr>
        <w:spacing w:after="180"/>
        <w:jc w:val="both"/>
      </w:pPr>
      <w:r>
        <w:t xml:space="preserve">&lt;Voice voice="negotiations"&gt;На "ми хочемо міняти людей швидше": "Ми розуміємо. Давайте домовимось на structured feedback — 2 тижні performance plan, після чого заміна протягом SLA. Це захищає і вас від поспішних рішень, і нас від нестабільності." На headcount flexibility: "Ми готові на ramp-down 20 днів для позицій, де є внутрішня ротація. Для нішевих ролей — 30 днів, бо recruiting pipeline довший."&lt;/Voice&gt;</w:t>
      </w:r>
    </w:p>
    <w:p>
      <w:pPr>
        <w:spacing w:after="180"/>
        <w:jc w:val="both"/>
      </w:pPr>
      <w:r>
        <w:t xml:space="preserve">&lt;Voice voice="delivery"&gt;Replacement за 15 робочих днів реалістичний, якщо є внутрішній bench. Для позицій Senior+ або рідкісних стеків (Rust, Elixir, specific ML) — краще домовлятись на 20 робочих днів в Team Plan. Performance review process має включати input від нашого PM, не тільки клієнтський feedback — інакше cultural mismatch може бути прийнятий за low performance.&lt;/Voice&gt;</w:t>
      </w:r>
    </w:p>
    <w:p>
      <w:pPr>
        <w:spacing w:after="180"/>
        <w:jc w:val="both"/>
      </w:pPr>
      <w:r>
        <w:t xml:space="preserve">&lt;Voice voice="interaction"&gt;Dedicated Team Terms — центральна секція: вона визначає, як працює headcount з Key Terms, як рахується payment з секції 3 (monthly retainer за actual headcount мінус vacancies), і як Non-Solicitation (секція 4) захищає конкретних людей з Team Plan. IP assignment (секція 5) покриває work product всіх людей, перелічених тут.&lt;/Voice&gt;</w:t>
      </w:r>
    </w:p>
    <w:p>
      <w:pPr>
        <w:pStyle w:val="Heading2"/>
        <w:keepNext/>
        <w:spacing w:after="180" w:before="360"/>
      </w:pPr>
      <w:r>
        <w:t xml:space="preserve">3. Payments</w:t>
      </w:r>
    </w:p>
    <w:p>
      <w:pPr>
        <w:spacing w:after="180"/>
        <w:jc w:val="both"/>
      </w:pPr>
      <w:r>
        <w:rPr>
          <w:b/>
          <w:bCs/>
        </w:rPr>
        <w:t xml:space="preserve">Payment Dispute.</w:t>
      </w:r>
      <w:r>
        <w:t xml:space="preserve"> If any amount claimed as payable is disputed in good faith, the </w:t>
      </w:r>
      <w:r>
        <w:rPr>
          <w:b/>
          <w:bCs/>
        </w:rPr>
        <w:t xml:space="preserve">Customer</w:t>
      </w:r>
      <w:r>
        <w:t xml:space="preserve"> shall pay the undisputed portion and give a </w:t>
      </w:r>
      <w:r>
        <w:rPr>
          <w:b/>
          <w:bCs/>
        </w:rPr>
        <w:t xml:space="preserve">5 business days</w:t>
      </w:r>
      <w:r>
        <w:t xml:space="preserve"> notice specifying the basis of the dispute in reasonable detail.</w:t>
      </w:r>
    </w:p>
    <w:p>
      <w:pPr>
        <w:spacing w:after="180"/>
        <w:jc w:val="both"/>
      </w:pPr>
      <w:r>
        <w:t xml:space="preserve">Payments that are undisputed by the Customer within 5 business days of receipt are considered accepted.</w:t>
      </w:r>
    </w:p>
    <w:p>
      <w:pPr>
        <w:spacing w:after="180"/>
        <w:jc w:val="both"/>
      </w:pPr>
      <w:r>
        <w:rPr>
          <w:b/>
          <w:bCs/>
        </w:rPr>
        <w:t xml:space="preserve">Late Payments.</w:t>
      </w:r>
      <w:r>
        <w:t xml:space="preserve"> If the Customer does not pay invoices when due, interest on the unpaid amounts of </w:t>
      </w:r>
      <w:r>
        <w:rPr>
          <w:b/>
          <w:bCs/>
        </w:rPr>
        <w:t xml:space="preserve">0.5% per calendar day</w:t>
      </w:r>
      <w:r>
        <w:t xml:space="preserve"> will be charged starting the day after the payment becomes due.</w:t>
      </w:r>
    </w:p>
    <w:p>
      <w:pPr>
        <w:pStyle w:val="Heading2"/>
        <w:keepNext/>
        <w:spacing w:after="180" w:before="360"/>
      </w:pPr>
      <w:r>
        <w:t xml:space="preserve">How this clause works in practice</w:t>
      </w:r>
    </w:p>
    <w:p>
      <w:pPr>
        <w:spacing w:after="180"/>
        <w:jc w:val="both"/>
      </w:pPr>
      <w:r>
        <w:t xml:space="preserve">Defensive mechanism for two reasons:</w:t>
      </w:r>
    </w:p>
    <w:p>
      <w:pPr>
        <w:pStyle w:val="ListParagraph"/>
        <w:numPr>
          <w:ilvl w:val="0"/>
          <w:numId w:val="2"/>
        </w:numPr>
        <w:spacing w:after="60"/>
      </w:pPr>
      <w:r>
        <w:rPr>
          <w:b/>
          <w:bCs/>
        </w:rPr>
        <w:t xml:space="preserve">Psychological pressure.</w:t>
      </w:r>
      <w:r>
        <w:t xml:space="preserve"> 0.5%/day ≈ 180% annualized. Client</w:t>
      </w:r>
    </w:p>
    <w:p>
      <w:pPr>
        <w:spacing w:after="180"/>
        <w:jc w:val="both"/>
      </w:pPr>
      <w:r>
        <w:t xml:space="preserve">finance teams notice this number and bump our invoices up the payment queue.</w:t>
      </w:r>
    </w:p>
    <w:p>
      <w:pPr>
        <w:pStyle w:val="ListParagraph"/>
        <w:numPr>
          <w:ilvl w:val="0"/>
          <w:numId w:val="2"/>
        </w:numPr>
        <w:spacing w:after="60"/>
      </w:pPr>
      <w:r>
        <w:rPr>
          <w:b/>
          <w:bCs/>
        </w:rPr>
        <w:t xml:space="preserve">Legal footing.</w:t>
      </w:r>
      <w:r>
        <w:t xml:space="preserve"> If collection escalates to court, we have</w:t>
      </w:r>
    </w:p>
    <w:p>
      <w:pPr>
        <w:spacing w:after="180"/>
        <w:jc w:val="both"/>
      </w:pPr>
      <w:r>
        <w:t xml:space="preserve">a clean contractual basis for including interest in the claim, without renegotiation.</w:t>
      </w:r>
    </w:p>
    <w:p>
      <w:pPr>
        <w:spacing w:after="180"/>
        <w:jc w:val="both"/>
      </w:pPr>
      <w:r>
        <w:t xml:space="preserve">&lt;Voice voice="legal"&gt;Payment terms 15 calendar days — агресивно для enterprise-клієнтів, у яких AP-цикл 30-45 днів. Юридично enforceable, але практично створює friction. Late payment interest має бути не нижче statutory rate (у Німеччині — 9% over ECB base rate для B2B). Payment dispute clause критичний: без нього клієнт може withhold весь invoice через спір по одній позиції.&lt;/Voice&gt;</w:t>
      </w:r>
    </w:p>
    <w:p>
      <w:pPr>
        <w:spacing w:after="180"/>
        <w:jc w:val="both"/>
      </w:pPr>
      <w:r>
        <w:t xml:space="preserve">&lt;Voice voice="business"&gt;Dedicated Team — це predictable monthly billing, що спрощує cash flow planning. Але ризик: клієнт оспорює invoice через "незадовільну якість" одного спеціаліста і блокує весь платіж. Payment dispute clause має вимагати оплати undisputed portion. Invoicing 1-го числа за поточний місяць (prepaid model) — наша перевага; якщо клієнт хоче postpaid — це +15 днів до cash gap, що для команди з 5 людей = ~€30-50K cash exposure.&lt;/Voice&gt;</w:t>
      </w:r>
    </w:p>
    <w:p>
      <w:pPr>
        <w:spacing w:after="180"/>
        <w:jc w:val="both"/>
      </w:pPr>
      <w:r>
        <w:t xml:space="preserve">&lt;Voice voice="negotiations"&gt;На "наш AP-цикл 30 днів": "Ми можемо піти на Net 20 для invoices понад €20K, але з автоматичним late fee після цього терміну. Це fair compromise." На payment dispute: "Ми завжди відкриті до обговорення якості, але invoice за undisputed headcount має бути оплачений вчасно — це зарплати людей, які працюють на вас." Ніколи не погоджуйтесь на "pay when satisfied" — це перетворює fixed retainer на T&amp;M.&lt;/Voice&gt;</w:t>
      </w:r>
    </w:p>
    <w:p>
      <w:pPr>
        <w:spacing w:after="180"/>
        <w:jc w:val="both"/>
      </w:pPr>
      <w:r>
        <w:t xml:space="preserve">&lt;Voice voice="delivery"&gt;Invoicing 1-го числа означає, що PM має закрити попередній місяць (timesheet approval, overtime log) до кінця місяця. Overtime потребує prior written approval — це має бути email/ticket від клієнта, не усна домовленість. Delivery team має вести overtimelog щотижня, щоб уникнути "сюрпризів" в invoice.&lt;/Voice&gt;</w:t>
      </w:r>
    </w:p>
    <w:p>
      <w:pPr>
        <w:spacing w:after="180"/>
        <w:jc w:val="both"/>
      </w:pPr>
      <w:r>
        <w:t xml:space="preserve">&lt;Voice voice="interaction"&gt;Payment clause безпосередньо залежить від Team Plan (Attachment A), де зафіксовані monthly rates. Vacancy reduction з Dedicated Team Terms (секція 2) впливає на розрахунок invoice. Late payment interest з'єднаний з Dispute Resolution (секція 8) — якщо клієнт не платить, ми спочатку нараховуємо interest, потім йдемо в dispute. Effect of Termination (секція 7) визначає final payment obligations.&lt;/Voice&gt;</w:t>
      </w:r>
    </w:p>
    <w:p>
      <w:pPr>
        <w:pStyle w:val="Heading2"/>
        <w:keepNext/>
        <w:spacing w:after="180" w:before="360"/>
      </w:pPr>
      <w:r>
        <w:t xml:space="preserve">4. Non-Solicitation</w:t>
      </w:r>
    </w:p>
    <w:p>
      <w:pPr>
        <w:spacing w:after="180"/>
        <w:jc w:val="both"/>
      </w:pPr>
      <w:r>
        <w:t xml:space="preserve">During the term of this agreement and for </w:t>
      </w:r>
      <w:r>
        <w:rPr>
          <w:b/>
          <w:bCs/>
        </w:rPr>
        <w:t xml:space="preserve">1 year</w:t>
      </w:r>
      <w:r>
        <w:t xml:space="preserve"> after its termination, neither party shall solicit, hire or encourage to leave employment any person who is an employee or subcontractor of the other party and who has been involved in the Services.</w:t>
      </w:r>
    </w:p>
    <w:p>
      <w:pPr>
        <w:spacing w:after="180"/>
        <w:jc w:val="both"/>
      </w:pPr>
      <w:r>
        <w:t xml:space="preserve">If any employee or subcontractor of one party independently approaches the other party about employment, the receiving party shall immediately suspend such a request and notify the other party.</w:t>
      </w:r>
    </w:p>
    <w:p>
      <w:pPr>
        <w:spacing w:after="180"/>
        <w:jc w:val="both"/>
      </w:pPr>
      <w:r>
        <w:t xml:space="preserve">&lt;Voice voice="legal"&gt;Non-solicitation 1 рік після termination — стандартний і enforceable в більшості юрисдикцій EU. Але "encourage to leave" — розпливчасте формулювання; клієнт може стверджувати, що цікава вакансія на LinkedIn = encouragement. Потрібна чітка дефініція: direct solicitation (особистий контакт з конкретною пропозицією), а не passive recruitment. Mutual формат — критичний: захищає нас від direct hire наших людей.&lt;/Voice&gt;</w:t>
      </w:r>
    </w:p>
    <w:p>
      <w:pPr>
        <w:spacing w:after="180"/>
        <w:jc w:val="both"/>
      </w:pPr>
      <w:r>
        <w:t xml:space="preserve">&lt;Voice voice="business"&gt;Non-solicitation — це страховка від найбільшого ризику Dedicated Team: клієнт наймає наших людей напряму, обходячи agency fee. Для команди з 5 senior-спеціалістів це потенційна втрата €300-600K annual revenue. Direct hire fee (якщо його немає — додати!) має бути 3-4 місячні зарплати per person. Це не штраф, а buy-out існуючого контракту.&lt;/Voice&gt;</w:t>
      </w:r>
    </w:p>
    <w:p>
      <w:pPr>
        <w:spacing w:after="180"/>
        <w:jc w:val="both"/>
      </w:pPr>
      <w:r>
        <w:t xml:space="preserve">&lt;Voice voice="negotiations"&gt;На "1 рік — це занадто довго": "Рік — це час, за який ми зможемо знайти заміну і перебудувати команду. 6 місяців — це мінімум, на який ми готові піти, але тільки з direct hire fee clause." На "це обмежує наш hiring": "Clause працює в обидва боки — ми теж не можемо хантити ваших людей. Це mutual protection, не обмеження." Якщо клієнт хоче hire our person — не блокуйте, а monetize: direct hire fee = win-win.&lt;/Voice&gt;</w:t>
      </w:r>
    </w:p>
    <w:p>
      <w:pPr>
        <w:spacing w:after="180"/>
        <w:jc w:val="both"/>
      </w:pPr>
      <w:r>
        <w:t xml:space="preserve">&lt;Voice voice="delivery"&gt;PM має слідкувати за "тихим хантингом": коли клієнт починає спілкуватись з нашими розробниками поза робочими каналами, обговорює їхні career aspirations, або пропонує "freelance on the side". Ранні ознаки: розробник починає ставити питання про релокацію або запитує recommendation letter. Notification obligation ("suspend and notify") — це наш early warning system.&lt;/Voice&gt;</w:t>
      </w:r>
    </w:p>
    <w:p>
      <w:pPr>
        <w:spacing w:after="180"/>
        <w:jc w:val="both"/>
      </w:pPr>
      <w:r>
        <w:t xml:space="preserve">&lt;Voice voice="interaction"&gt;Non-solicitation захищає конкретних людей з Team Plan (Attachment A) та Dedicated Team Terms (секція 2). Термін "1 year after termination" рахується від дати, визначеної в Effect of Termination (секція 7). Якщо клієнт порушує Non-solicitation, це може бути grounds для early termination з financial penalties.&lt;/Voice&gt;</w:t>
      </w:r>
    </w:p>
    <w:p>
      <w:pPr>
        <w:pStyle w:val="Heading2"/>
        <w:keepNext/>
        <w:spacing w:after="180" w:before="360"/>
      </w:pPr>
      <w:r>
        <w:t xml:space="preserve">5. Intellectual Property</w:t>
      </w:r>
    </w:p>
    <w:p>
      <w:pPr>
        <w:spacing w:after="180"/>
        <w:jc w:val="both"/>
      </w:pPr>
      <w:r>
        <w:rPr>
          <w:b/>
          <w:bCs/>
        </w:rPr>
        <w:t xml:space="preserve">Final Works.</w:t>
      </w:r>
      <w:r>
        <w:t xml:space="preserve"> The Contractor transfers to the Customer all intellectual property rights (IP rights) in all materials developed for or provided to the Customer by the Contractor through the performance of Services (Deliverables), </w:t>
      </w:r>
      <w:r>
        <w:rPr>
          <w:b/>
          <w:bCs/>
        </w:rPr>
        <w:t xml:space="preserve">as necessary payments are made</w:t>
      </w:r>
      <w:r>
        <w:t xml:space="preserve"> during the agreement. If the agreement is terminated, the Contractor shall transfer all finished and unfinished Deliverables previously paid for.</w:t>
      </w:r>
    </w:p>
    <w:p>
      <w:pPr>
        <w:spacing w:after="180"/>
        <w:jc w:val="both"/>
      </w:pPr>
      <w:r>
        <w:rPr>
          <w:b/>
          <w:bCs/>
        </w:rPr>
        <w:t xml:space="preserve">No copyleft licenses.</w:t>
      </w:r>
      <w:r>
        <w:t xml:space="preserve"> The Contractor warrants that it has not included or used, and will not include or use, any Open-Source Software or any libraries or code licensed under the General Public License, AGPL, or any similar copyleft license in the Software, where such license would require the Customer to license the Software onwards or otherwise make it available to others, without the Customer's prior written consent.</w:t>
      </w:r>
    </w:p>
    <w:p>
      <w:pPr>
        <w:pStyle w:val="Heading2"/>
        <w:keepNext/>
        <w:spacing w:after="180" w:before="360"/>
      </w:pPr>
      <w:r>
        <w:t xml:space="preserve">How this works in practice</w:t>
      </w:r>
    </w:p>
    <w:p>
      <w:pPr>
        <w:spacing w:after="180"/>
        <w:jc w:val="both"/>
      </w:pPr>
      <w:r>
        <w:t xml:space="preserve">Three principled differences from the subcontract version:</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Aspect</w:t>
            </w:r>
          </w:p>
        </w:tc>
        <w:tc>
          <w:tcPr>
            <w:tcW w:type="pct" w:w="50%"/>
            <w:shd w:fill="EEE9D4" w:val="clear"/>
            <w:tcMar>
              <w:top w:type="dxa" w:w="80"/>
              <w:left w:type="dxa" w:w="120"/>
              <w:bottom w:type="dxa" w:w="80"/>
              <w:right w:type="dxa" w:w="120"/>
            </w:tcMar>
          </w:tcPr>
          <w:p>
            <w:pPr>
              <w:spacing w:after="60" w:before="60"/>
            </w:pPr>
            <w:r>
              <w:rPr>
                <w:b/>
                <w:bCs/>
                <w:sz w:val="20"/>
                <w:szCs w:val="20"/>
              </w:rPr>
              <w:t xml:space="preserve">Subcontract (Dev)</w:t>
            </w:r>
          </w:p>
        </w:tc>
        <w:tc>
          <w:tcPr>
            <w:tcW w:type="pct" w:w="50%"/>
            <w:shd w:fill="EEE9D4" w:val="clear"/>
            <w:tcMar>
              <w:top w:type="dxa" w:w="80"/>
              <w:left w:type="dxa" w:w="120"/>
              <w:bottom w:type="dxa" w:w="80"/>
              <w:right w:type="dxa" w:w="120"/>
            </w:tcMar>
          </w:tcPr>
          <w:p>
            <w:pPr>
              <w:spacing w:after="60" w:before="60"/>
            </w:pPr>
            <w:r>
              <w:rPr>
                <w:b/>
                <w:bCs/>
                <w:sz w:val="20"/>
                <w:szCs w:val="20"/>
              </w:rPr>
              <w:t xml:space="preserve">Services Agreement</w:t>
            </w:r>
          </w:p>
        </w:tc>
      </w:tr>
      <w:tr>
        <w:tc>
          <w:tcPr>
            <w:tcW w:type="pct" w:w="50%"/>
            <w:tcMar>
              <w:top w:type="dxa" w:w="80"/>
              <w:left w:type="dxa" w:w="120"/>
              <w:bottom w:type="dxa" w:w="80"/>
              <w:right w:type="dxa" w:w="120"/>
            </w:tcMar>
          </w:tcPr>
          <w:p>
            <w:pPr>
              <w:spacing w:after="60" w:before="60"/>
            </w:pPr>
            <w:r>
              <w:rPr>
                <w:b w:val="false"/>
                <w:bCs w:val="false"/>
                <w:sz w:val="20"/>
                <w:szCs w:val="20"/>
              </w:rPr>
              <w:t xml:space="preserve">Direction</w:t>
            </w:r>
          </w:p>
        </w:tc>
        <w:tc>
          <w:tcPr>
            <w:tcW w:type="pct" w:w="50%"/>
            <w:tcMar>
              <w:top w:type="dxa" w:w="80"/>
              <w:left w:type="dxa" w:w="120"/>
              <w:bottom w:type="dxa" w:w="80"/>
              <w:right w:type="dxa" w:w="120"/>
            </w:tcMar>
          </w:tcPr>
          <w:p>
            <w:pPr>
              <w:spacing w:after="60" w:before="60"/>
            </w:pPr>
            <w:r>
              <w:rPr>
                <w:b w:val="false"/>
                <w:bCs w:val="false"/>
                <w:sz w:val="20"/>
                <w:szCs w:val="20"/>
              </w:rPr>
              <w:t xml:space="preserve">Subcontractor → Contractor</w:t>
            </w:r>
          </w:p>
        </w:tc>
        <w:tc>
          <w:tcPr>
            <w:tcW w:type="pct" w:w="50%"/>
            <w:tcMar>
              <w:top w:type="dxa" w:w="80"/>
              <w:left w:type="dxa" w:w="120"/>
              <w:bottom w:type="dxa" w:w="80"/>
              <w:right w:type="dxa" w:w="120"/>
            </w:tcMar>
          </w:tcPr>
          <w:p>
            <w:pPr>
              <w:spacing w:after="60" w:before="60"/>
            </w:pPr>
            <w:r>
              <w:rPr>
                <w:b w:val="false"/>
                <w:bCs w:val="false"/>
                <w:sz w:val="20"/>
                <w:szCs w:val="20"/>
              </w:rPr>
              <w:t xml:space="preserve">Contractor → Customer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Transfer timing</w:t>
            </w:r>
          </w:p>
        </w:tc>
        <w:tc>
          <w:tcPr>
            <w:tcW w:type="pct" w:w="50%"/>
            <w:tcMar>
              <w:top w:type="dxa" w:w="80"/>
              <w:left w:type="dxa" w:w="120"/>
              <w:bottom w:type="dxa" w:w="80"/>
              <w:right w:type="dxa" w:w="120"/>
            </w:tcMar>
          </w:tcPr>
          <w:p>
            <w:pPr>
              <w:spacing w:after="60" w:before="60"/>
            </w:pPr>
            <w:r>
              <w:rPr>
                <w:b w:val="false"/>
                <w:bCs w:val="false"/>
                <w:sz w:val="20"/>
                <w:szCs w:val="20"/>
              </w:rPr>
              <w:t xml:space="preserve">Exclusively after full payment of all fees</w:t>
            </w:r>
          </w:p>
        </w:tc>
        <w:tc>
          <w:tcPr>
            <w:tcW w:type="pct" w:w="50%"/>
            <w:tcMar>
              <w:top w:type="dxa" w:w="80"/>
              <w:left w:type="dxa" w:w="120"/>
              <w:bottom w:type="dxa" w:w="80"/>
              <w:right w:type="dxa" w:w="120"/>
            </w:tcMar>
          </w:tcPr>
          <w:p>
            <w:pPr>
              <w:spacing w:after="60" w:before="60"/>
            </w:pPr>
            <w:r>
              <w:rPr>
                <w:b w:val="false"/>
                <w:bCs w:val="false"/>
                <w:sz w:val="20"/>
                <w:szCs w:val="20"/>
              </w:rPr>
              <w:t xml:space="preserve">Rolling, as payments are made</w:t>
            </w:r>
          </w:p>
        </w:tc>
      </w:tr>
      <w:tr>
        <w:tc>
          <w:tcPr>
            <w:tcW w:type="pct" w:w="50%"/>
            <w:tcMar>
              <w:top w:type="dxa" w:w="80"/>
              <w:left w:type="dxa" w:w="120"/>
              <w:bottom w:type="dxa" w:w="80"/>
              <w:right w:type="dxa" w:w="120"/>
            </w:tcMar>
          </w:tcPr>
          <w:p>
            <w:pPr>
              <w:spacing w:after="60" w:before="60"/>
            </w:pPr>
            <w:r>
              <w:rPr>
                <w:b w:val="false"/>
                <w:bCs w:val="false"/>
                <w:sz w:val="20"/>
                <w:szCs w:val="20"/>
              </w:rPr>
              <w:t xml:space="preserve">On termination</w:t>
            </w:r>
          </w:p>
        </w:tc>
        <w:tc>
          <w:tcPr>
            <w:tcW w:type="pct" w:w="50%"/>
            <w:tcMar>
              <w:top w:type="dxa" w:w="80"/>
              <w:left w:type="dxa" w:w="120"/>
              <w:bottom w:type="dxa" w:w="80"/>
              <w:right w:type="dxa" w:w="120"/>
            </w:tcMar>
          </w:tcPr>
          <w:p>
            <w:pPr>
              <w:spacing w:after="60" w:before="60"/>
            </w:pPr>
            <w:r>
              <w:rPr>
                <w:b w:val="false"/>
                <w:bCs w:val="false"/>
                <w:sz w:val="20"/>
                <w:szCs w:val="20"/>
              </w:rPr>
              <w:t xml:space="preserve">—</w:t>
            </w:r>
          </w:p>
        </w:tc>
        <w:tc>
          <w:tcPr>
            <w:tcW w:type="pct" w:w="50%"/>
            <w:tcMar>
              <w:top w:type="dxa" w:w="80"/>
              <w:left w:type="dxa" w:w="120"/>
              <w:bottom w:type="dxa" w:w="80"/>
              <w:right w:type="dxa" w:w="120"/>
            </w:tcMar>
          </w:tcPr>
          <w:p>
            <w:pPr>
              <w:spacing w:after="60" w:before="60"/>
            </w:pPr>
            <w:r>
              <w:rPr>
                <w:b w:val="false"/>
                <w:bCs w:val="false"/>
                <w:sz w:val="20"/>
                <w:szCs w:val="20"/>
              </w:rPr>
              <w:t xml:space="preserve">We transfer all paid-for work, including unfinished</w:t>
            </w:r>
          </w:p>
        </w:tc>
      </w:tr>
    </w:tbl>
    <w:p>
      <w:pPr>
        <w:spacing w:after="160" w:before="0"/>
      </w:pPr>
      <w:r>
        <w:t xml:space="preserve"/>
      </w:r>
    </w:p>
    <w:p>
      <w:pPr>
        <w:spacing w:after="180"/>
        <w:jc w:val="both"/>
      </w:pPr>
      <w:r>
        <w:rPr>
          <w:b/>
          <w:bCs/>
        </w:rPr>
        <w:t xml:space="preserve">Rolling IP transfer</w:t>
      </w:r>
      <w:r>
        <w:t xml:space="preserve"> is the important change. The client gets rights </w:t>
      </w:r>
      <w:r>
        <w:rPr>
          <w:b/>
          <w:bCs/>
        </w:rPr>
        <w:t xml:space="preserve">progressively as they pay</w:t>
      </w:r>
      <w:r>
        <w:t xml:space="preserve">, not "all or nothing after the last invoice." This protects the client if we stop working mid- project for any reason — they retain rights to what they paid for and can continue development with another contractor.</w:t>
      </w:r>
    </w:p>
    <w:p>
      <w:pPr>
        <w:spacing w:after="180"/>
        <w:jc w:val="both"/>
      </w:pPr>
      <w:r>
        <w:t xml:space="preserve">&lt;Voice voice="legal"&gt;IP assignment в Dedicated Team має нюанс: команда може використовувати internal tools, libraries, frameworks, які є pre-existing IP Contractor'а. Clause має чітко виділяти "Contractor Tools" — pre-existing IP з perpetual license клієнту, vs. "Work Product" — повний assignment. Без цього розмежування клієнт може претендувати на наш internal tooling, який використовується across projects.&lt;/Voice&gt;</w:t>
      </w:r>
    </w:p>
    <w:p>
      <w:pPr>
        <w:spacing w:after="180"/>
        <w:jc w:val="both"/>
      </w:pPr>
      <w:r>
        <w:t xml:space="preserve">&lt;Voice voice="business"&gt;Full IP assignment — стандартна вимога enterprise-клієнтів і не є проблемою для project-specific code. Але якщо команда створює reusable components, які ми могли б використати в інших проектах — це втрачена value. Pre-existing IP carve-out дозволяє нам зберігати та розвивати internal tools. Для open-source contributions під час проекту — потрібен окремий approval process.&lt;/Voice&gt;</w:t>
      </w:r>
    </w:p>
    <w:p>
      <w:pPr>
        <w:spacing w:after="180"/>
        <w:jc w:val="both"/>
      </w:pPr>
      <w:r>
        <w:t xml:space="preserve">&lt;Voice voice="negotiations"&gt;На "все, що наша команда створює, належить нам": "Absolutely — весь Work Product під вашим проектом належить вам. Ми лише просимо виділити наші pre-existing tools, які ми принесли в проект — ви отримуєте perpetual license на них, а ми можемо продовжувати їх розвивати." На "ми хочемо ownership на все, включаючи tools": "Це означатиме, що ми не зможемо використовувати наші власні CI/CD pipelines та testing frameworks в проекті — що сповільнить delivery."&lt;/Voice&gt;</w:t>
      </w:r>
    </w:p>
    <w:p>
      <w:pPr>
        <w:spacing w:after="180"/>
        <w:jc w:val="both"/>
      </w:pPr>
      <w:r>
        <w:t xml:space="preserve">&lt;Voice voice="delivery"&gt;Команда має вести IP log: що є project-specific Work Product (належить клієнту), а що є Contractor Tools (наше, з license клієнту). Це особливо важливо для shared libraries, CI/CD configs, testing utilities. PM має review IP log щоквартально. Code review process повинен включати IP classification — кожен значний PR має бути tagged як Work Product або Contractor Tool.&lt;/Voice&gt;</w:t>
      </w:r>
    </w:p>
    <w:p>
      <w:pPr>
        <w:spacing w:after="180"/>
        <w:jc w:val="both"/>
      </w:pPr>
      <w:r>
        <w:t xml:space="preserve">&lt;Voice voice="interaction"&gt;IP assignment покриває Work Product людей з Team Plan (Attachment A). Scope IP визначається через Dedicated Team Terms (секція 2) — тільки робота "under Customer's direction". Effect of Termination (секція 7) має гарантувати handover всього Work Product. Liability (секція 6) покриває IP infringement claims.&lt;/Voice&gt;</w:t>
      </w:r>
    </w:p>
    <w:p>
      <w:pPr>
        <w:pStyle w:val="Heading2"/>
        <w:keepNext/>
        <w:spacing w:after="180" w:before="360"/>
      </w:pPr>
      <w:r>
        <w:t xml:space="preserve">6. Limitation of Liability and Indemnification</w:t>
      </w:r>
    </w:p>
    <w:p>
      <w:pPr>
        <w:spacing w:after="18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80"/>
        <w:jc w:val="both"/>
      </w:pPr>
      <w:r>
        <w:t xml:space="preserve">indemnified party; and</w:t>
      </w:r>
    </w:p>
    <w:p>
      <w:pPr>
        <w:pStyle w:val="ListParagraph"/>
        <w:numPr>
          <w:ilvl w:val="0"/>
          <w:numId w:val="1"/>
        </w:numPr>
        <w:spacing w:after="60"/>
      </w:pPr>
      <w:r>
        <w:t xml:space="preserve">the indemnifying party's wilful misconduct or gross</w:t>
      </w:r>
    </w:p>
    <w:p>
      <w:pPr>
        <w:spacing w:after="180"/>
        <w:jc w:val="both"/>
      </w:pPr>
      <w:r>
        <w:t xml:space="preserve">negligence.</w:t>
      </w:r>
    </w:p>
    <w:p>
      <w:pPr>
        <w:spacing w:after="18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8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spacing w:after="180"/>
        <w:jc w:val="both"/>
      </w:pPr>
      <w:r>
        <w:t xml:space="preserve">&lt;Voice voice="legal"&gt;Liability cap у Dedicated Team зазвичай = 12 місяців fees (annual contract value). Для великих команд (10+ людей) це може бути €500K+ — переконайтесь, що cap відповідає вашому insurance coverage. Mutual limitation — критична: без неї клієнт може претендувати на consequential damages (lost profits від "неякісної" роботи команди), які можуть перевищити весь contract value в десятки разів. Indemnification за IP infringement — стандартне, але має бути capped.&lt;/Voice&gt;</w:t>
      </w:r>
    </w:p>
    <w:p>
      <w:pPr>
        <w:spacing w:after="180"/>
        <w:jc w:val="both"/>
      </w:pPr>
      <w:r>
        <w:t xml:space="preserve">&lt;Voice voice="business"&gt;Liability cap = annual contract value — це golden rule. Якщо клієнт хоче unlimited liability або cap = total contract value (multi-year), це deal breaker. Для Dedicated Team специфічний ризик: клієнт стверджує, що "погана якість коду" призвела до бізнес-втрат. Exclusion of consequential/indirect damages — наш головний захист. Без цього один невдалий deployment може коштувати більше, ніж весь контракт.&lt;/Voice&gt;</w:t>
      </w:r>
    </w:p>
    <w:p>
      <w:pPr>
        <w:spacing w:after="180"/>
        <w:jc w:val="both"/>
      </w:pPr>
      <w:r>
        <w:t xml:space="preserve">&lt;Voice voice="negotiations"&gt;На "ми хочемо unlimited liability": "Це нестандартно для services-контрактів і зробить страхування проекту неможливим. Liability cap = 12 місяців fees — це market standard, який дає вам meaningful recourse, а нам — можливість працювати." На "ми хочемо consequential damages": "Ми не контролюємо ваш production environment, бізнес-рішення та go-to-market timing. Consequential damages за ці фактори були б несправедливими для обох сторін."&lt;/Voice&gt;</w:t>
      </w:r>
    </w:p>
    <w:p>
      <w:pPr>
        <w:spacing w:after="180"/>
        <w:jc w:val="both"/>
      </w:pPr>
      <w:r>
        <w:t xml:space="preserve">&lt;Voice voice="delivery"&gt;Liability cap впливає на risk management: якщо cap = €300K, а команда працює з sensitive data (fintech, healthcare), потрібен додатковий insurance або security review process. PM має ескалювати будь-які incidents, які потенційно можуть привести до liability claim, негайно — не чекаючи, поки клієнт помітить проблему.&lt;/Voice&gt;</w:t>
      </w:r>
    </w:p>
    <w:p>
      <w:pPr>
        <w:spacing w:after="180"/>
        <w:jc w:val="both"/>
      </w:pPr>
      <w:r>
        <w:t xml:space="preserve">&lt;Voice voice="interaction"&gt;Liability cap рахується від payment amounts (секція 3). IP indemnification тут пов'язаний з IP Assignment (секція 5) — якщо ми передаємо IP з pre-existing components, ми відповідаємо за їх "чистоту". Dispute Resolution (секція 8) визначає процес, якщо liability claim доходить до спору. Effect of Termination (секція 7) не знімає liability obligations — вони survive termination.&lt;/Voice&gt;</w:t>
      </w:r>
    </w:p>
    <w:p>
      <w:pPr>
        <w:pStyle w:val="Heading2"/>
        <w:keepNext/>
        <w:spacing w:after="180" w:before="360"/>
      </w:pPr>
      <w:r>
        <w:t xml:space="preserve">7. Effect of Termination</w:t>
      </w:r>
    </w:p>
    <w:p>
      <w:pPr>
        <w:spacing w:after="180"/>
        <w:jc w:val="both"/>
      </w:pPr>
      <w:r>
        <w:rPr>
          <w:b/>
          <w:bCs/>
        </w:rPr>
        <w:t xml:space="preserve">Payment Obligations.</w:t>
      </w:r>
      <w:r>
        <w:t xml:space="preserve"> Upon the expiration or termination of this agreement, each party shall pay any amounts it owes to the other party, including payment obligations for Services already rendered, or refund any payments received but not yet earned, including payments for Services not rendered.</w:t>
      </w:r>
    </w:p>
    <w:p>
      <w:pPr>
        <w:spacing w:after="180"/>
        <w:jc w:val="both"/>
      </w:pPr>
      <w:r>
        <w:rPr>
          <w:b/>
          <w:bCs/>
        </w:rPr>
        <w:t xml:space="preserve">Performer Obligations.</w:t>
      </w:r>
      <w:r>
        <w:t xml:space="preserve"> Upon receipt of notice of such termination, the Subcontractor (Subcontractor or Contractor, depending on the agreement type) shall promptly terminate all Services in progress, inform the principal of the extent to which performance has been completed, and deliver to the principal whatever Deliverables produced in the performance of the Services.</w:t>
      </w:r>
    </w:p>
    <w:p>
      <w:pPr>
        <w:spacing w:after="180"/>
        <w:jc w:val="both"/>
      </w:pPr>
      <w:r>
        <w:rPr>
          <w:b/>
          <w:bCs/>
        </w:rPr>
        <w:t xml:space="preserve">Survival.</w:t>
      </w:r>
      <w:r>
        <w:t xml:space="preserve"> Upon the termination of this agreement, the obligations of the Parties regarding </w:t>
      </w:r>
      <w:r>
        <w:rPr>
          <w:b/>
          <w:bCs/>
        </w:rPr>
        <w:t xml:space="preserve">intellectual property, confidentiality, non-solicitation and non-compete</w:t>
      </w:r>
      <w:r>
        <w:t xml:space="preserve"> shall survive.</w:t>
      </w:r>
    </w:p>
    <w:p>
      <w:pPr>
        <w:pStyle w:val="Heading2"/>
        <w:keepNext/>
        <w:spacing w:after="180" w:before="360"/>
      </w:pPr>
      <w:r>
        <w:t xml:space="preserve">Three separate obligations</w:t>
      </w:r>
    </w:p>
    <w:p>
      <w:pPr>
        <w:spacing w:after="180"/>
        <w:jc w:val="both"/>
      </w:pPr>
      <w:r>
        <w:t xml:space="preserve">This clause breaks into three independent duties:</w:t>
      </w:r>
    </w:p>
    <w:p>
      <w:pPr>
        <w:pStyle w:val="Heading3"/>
        <w:keepNext/>
        <w:spacing w:after="120" w:before="240"/>
      </w:pPr>
      <w:r>
        <w:t xml:space="preserve">1. Settlement (Payment Obligations)</w:t>
      </w:r>
    </w:p>
    <w:p>
      <w:pPr>
        <w:spacing w:after="180"/>
        <w:jc w:val="both"/>
      </w:pPr>
      <w:r>
        <w:t xml:space="preserve">"Who owes, pays. Who got too much, refunds." A symmetric rule that works in both directions:</w:t>
      </w:r>
    </w:p>
    <w:p>
      <w:pPr>
        <w:pStyle w:val="ListParagraph"/>
        <w:numPr>
          <w:ilvl w:val="0"/>
          <w:numId w:val="1"/>
        </w:numPr>
        <w:spacing w:after="60"/>
      </w:pPr>
      <w:r>
        <w:rPr>
          <w:b/>
          <w:bCs/>
        </w:rPr>
        <w:t xml:space="preserve">Our debt</w:t>
      </w:r>
      <w:r>
        <w:t xml:space="preserve"> — if we haven't paid for work done before</w:t>
      </w:r>
    </w:p>
    <w:p>
      <w:pPr>
        <w:spacing w:after="180"/>
        <w:jc w:val="both"/>
      </w:pPr>
      <w:r>
        <w:t xml:space="preserve">termination, we must settle.</w:t>
      </w:r>
    </w:p>
    <w:p>
      <w:pPr>
        <w:pStyle w:val="ListParagraph"/>
        <w:numPr>
          <w:ilvl w:val="0"/>
          <w:numId w:val="1"/>
        </w:numPr>
        <w:spacing w:after="60"/>
      </w:pPr>
      <w:r>
        <w:rPr>
          <w:b/>
          <w:bCs/>
        </w:rPr>
        <w:t xml:space="preserve">Their debt</w:t>
      </w:r>
      <w:r>
        <w:t xml:space="preserve"> — if we pre-paid for work not yet done, they</w:t>
      </w:r>
    </w:p>
    <w:p>
      <w:pPr>
        <w:spacing w:after="180"/>
        <w:jc w:val="both"/>
      </w:pPr>
      <w:r>
        <w:t xml:space="preserve">refund (or we agree to credit against future projects).</w:t>
      </w:r>
    </w:p>
    <w:p>
      <w:pPr>
        <w:pStyle w:val="Heading3"/>
        <w:keepNext/>
        <w:spacing w:after="120" w:before="240"/>
      </w:pPr>
      <w:r>
        <w:t xml:space="preserve">2. Handover (Performer obligations)</w:t>
      </w:r>
    </w:p>
    <w:p>
      <w:pPr>
        <w:spacing w:after="180"/>
        <w:jc w:val="both"/>
      </w:pPr>
      <w:r>
        <w:t xml:space="preserve">Immediate stop + status report + delivery. Three actions that must happen the day notice is received:</w:t>
      </w:r>
    </w:p>
    <w:p>
      <w:pPr>
        <w:pStyle w:val="ListParagraph"/>
        <w:numPr>
          <w:ilvl w:val="0"/>
          <w:numId w:val="1"/>
        </w:numPr>
        <w:spacing w:after="60"/>
      </w:pPr>
      <w:r>
        <w:rPr>
          <w:b/>
          <w:bCs/>
        </w:rPr>
        <w:t xml:space="preserve">Stop</w:t>
      </w:r>
      <w:r>
        <w:t xml:space="preserve"> — the performer takes on no new tasks</w:t>
      </w:r>
    </w:p>
    <w:p>
      <w:pPr>
        <w:pStyle w:val="ListParagraph"/>
        <w:numPr>
          <w:ilvl w:val="0"/>
          <w:numId w:val="1"/>
        </w:numPr>
        <w:spacing w:after="60"/>
      </w:pPr>
      <w:r>
        <w:rPr>
          <w:b/>
          <w:bCs/>
        </w:rPr>
        <w:t xml:space="preserve">Report</w:t>
      </w:r>
      <w:r>
        <w:t xml:space="preserve"> — what's done, what's in progress, what's not started</w:t>
      </w:r>
    </w:p>
    <w:p>
      <w:pPr>
        <w:pStyle w:val="ListParagraph"/>
        <w:numPr>
          <w:ilvl w:val="0"/>
          <w:numId w:val="1"/>
        </w:numPr>
        <w:spacing w:after="60"/>
      </w:pPr>
      <w:r>
        <w:rPr>
          <w:b/>
          <w:bCs/>
        </w:rPr>
        <w:t xml:space="preserve">Deliver</w:t>
      </w:r>
      <w:r>
        <w:t xml:space="preserve"> — all work product (code, docs, access) transfers</w:t>
      </w:r>
    </w:p>
    <w:p>
      <w:pPr>
        <w:spacing w:after="180"/>
        <w:jc w:val="both"/>
      </w:pPr>
      <w:r>
        <w:t xml:space="preserve">to the principal</w:t>
      </w:r>
    </w:p>
    <w:p>
      <w:pPr>
        <w:spacing w:after="180"/>
        <w:jc w:val="both"/>
      </w:pPr>
      <w:r>
        <w:t xml:space="preserve">If the performer ignores this clause, we have legal grounds to demand performance and to withhold the final payment until handover is complete.</w:t>
      </w:r>
    </w:p>
    <w:p>
      <w:pPr>
        <w:pStyle w:val="Heading3"/>
        <w:keepNext/>
        <w:spacing w:after="120" w:before="240"/>
      </w:pPr>
      <w:r>
        <w:t xml:space="preserve">3. Survival</w:t>
      </w:r>
    </w:p>
    <w:p>
      <w:pPr>
        <w:spacing w:after="180"/>
        <w:jc w:val="both"/>
      </w:pPr>
      <w:r>
        <w:t xml:space="preserve">What stays in force after the agreement ends:</w:t>
      </w:r>
    </w:p>
    <w:p>
      <w:pPr>
        <w:pStyle w:val="ListParagraph"/>
        <w:numPr>
          <w:ilvl w:val="0"/>
          <w:numId w:val="1"/>
        </w:numPr>
        <w:spacing w:after="60"/>
      </w:pPr>
      <w:r>
        <w:rPr>
          <w:b/>
          <w:bCs/>
        </w:rPr>
        <w:t xml:space="preserve">IP</w:t>
      </w:r>
      <w:r>
        <w:t xml:space="preserve"> — rights to delivered Deliverables remain with the</w:t>
      </w:r>
    </w:p>
    <w:p>
      <w:pPr>
        <w:spacing w:after="180"/>
        <w:jc w:val="both"/>
      </w:pPr>
      <w:r>
        <w:t xml:space="preserve">principal</w:t>
      </w:r>
    </w:p>
    <w:p>
      <w:pPr>
        <w:pStyle w:val="ListParagraph"/>
        <w:numPr>
          <w:ilvl w:val="0"/>
          <w:numId w:val="1"/>
        </w:numPr>
        <w:spacing w:after="60"/>
      </w:pPr>
      <w:r>
        <w:rPr>
          <w:b/>
          <w:bCs/>
        </w:rPr>
        <w:t xml:space="preserve">Confidentiality</w:t>
      </w:r>
      <w:r>
        <w:t xml:space="preserve"> — anything disclosed remains confidential</w:t>
      </w:r>
    </w:p>
    <w:p>
      <w:pPr>
        <w:spacing w:after="180"/>
        <w:jc w:val="both"/>
      </w:pPr>
      <w:r>
        <w:t xml:space="preserve">(per Mutual Confidentiality terms)</w:t>
      </w:r>
    </w:p>
    <w:p>
      <w:pPr>
        <w:pStyle w:val="ListParagraph"/>
        <w:numPr>
          <w:ilvl w:val="0"/>
          <w:numId w:val="1"/>
        </w:numPr>
        <w:spacing w:after="60"/>
      </w:pPr>
      <w:r>
        <w:rPr>
          <w:b/>
          <w:bCs/>
        </w:rPr>
        <w:t xml:space="preserve">Non-solicitation</w:t>
      </w:r>
      <w:r>
        <w:t xml:space="preserve"> — 1 year in subcontracts runs from Start</w:t>
      </w:r>
    </w:p>
    <w:p>
      <w:pPr>
        <w:spacing w:after="180"/>
        <w:jc w:val="both"/>
      </w:pPr>
      <w:r>
        <w:t xml:space="preserve">date, not from termination</w:t>
      </w:r>
    </w:p>
    <w:p>
      <w:pPr>
        <w:pStyle w:val="ListParagraph"/>
        <w:numPr>
          <w:ilvl w:val="0"/>
          <w:numId w:val="1"/>
        </w:numPr>
        <w:spacing w:after="60"/>
      </w:pPr>
      <w:r>
        <w:rPr>
          <w:b/>
          <w:bCs/>
        </w:rPr>
        <w:t xml:space="preserve">Non-compete</w:t>
      </w:r>
      <w:r>
        <w:t xml:space="preserve"> — same</w:t>
      </w:r>
    </w:p>
    <w:p>
      <w:pPr>
        <w:spacing w:after="180"/>
        <w:jc w:val="both"/>
      </w:pPr>
      <w:r>
        <w:t xml:space="preserve">Survival is the key mechanism that makes a clean termination possible: if you exit, you don't walk away with the IP, clients, confidential information, or the right to poach.</w:t>
      </w:r>
    </w:p>
    <w:p>
      <w:pPr>
        <w:pStyle w:val="Heading2"/>
        <w:keepNext/>
        <w:spacing w:after="180" w:before="360"/>
      </w:pPr>
      <w:r>
        <w:t xml:space="preserve">8. Dispute Resolution</w:t>
      </w:r>
    </w:p>
    <w:p>
      <w:pPr>
        <w:spacing w:after="18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8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keepNext/>
        <w:spacing w:after="180" w:before="360"/>
      </w:pPr>
      <w:r>
        <w:t xml:space="preserve">9.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Acme Services GmbH</w:t>
            </w:r>
          </w:p>
        </w:tc>
        <w:tc>
          <w:tcPr>
            <w:tcW w:type="pct" w:w="50%"/>
            <w:shd w:fill="EEE9D4" w:val="clear"/>
            <w:tcMar>
              <w:top w:type="dxa" w:w="80"/>
              <w:left w:type="dxa" w:w="120"/>
              <w:bottom w:type="dxa" w:w="80"/>
              <w:right w:type="dxa" w:w="120"/>
            </w:tcMar>
          </w:tcPr>
          <w:p>
            <w:pPr>
              <w:spacing w:after="60" w:before="60"/>
            </w:pPr>
            <w:r>
              <w:rPr>
                <w:b/>
                <w:bCs/>
                <w:sz w:val="20"/>
                <w:szCs w:val="20"/>
              </w:rPr>
              <w:t xml:space="preserve">Customer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Registry code: HRB123456X / VAT ID: DE999888777</w:t>
            </w:r>
          </w:p>
        </w:tc>
        <w:tc>
          <w:tcPr>
            <w:tcW w:type="pct" w:w="50%"/>
            <w:tcMar>
              <w:top w:type="dxa" w:w="80"/>
              <w:left w:type="dxa" w:w="120"/>
              <w:bottom w:type="dxa" w:w="80"/>
              <w:right w:type="dxa" w:w="120"/>
            </w:tcMar>
          </w:tcPr>
          <w:p>
            <w:pPr>
              <w:spacing w:after="60" w:before="60"/>
            </w:pPr>
            <w:r>
              <w:rPr>
                <w:b w:val="false"/>
                <w:bCs w:val="false"/>
                <w:sz w:val="20"/>
                <w:szCs w:val="20"/>
              </w:rPr>
              <w:t xml:space="preserve">Company ID / VAT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Jurisdiction: Germany</w:t>
            </w:r>
          </w:p>
        </w:tc>
        <w:tc>
          <w:tcPr>
            <w:tcW w:type="pct" w:w="50%"/>
            <w:tcMar>
              <w:top w:type="dxa" w:w="80"/>
              <w:left w:type="dxa" w:w="120"/>
              <w:bottom w:type="dxa" w:w="80"/>
              <w:right w:type="dxa" w:w="120"/>
            </w:tcMar>
          </w:tcPr>
          <w:p>
            <w:pPr>
              <w:spacing w:after="60" w:before="60"/>
            </w:pPr>
            <w:r>
              <w:rPr>
                <w:b w:val="false"/>
                <w:bCs w:val="false"/>
                <w:sz w:val="20"/>
                <w:szCs w:val="20"/>
              </w:rPr>
              <w:t xml:space="preserve">Jurisdiction: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Address: Musterstraße 1, Berlin, 10115, Germany</w:t>
            </w:r>
          </w:p>
        </w:tc>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r>
        <w:tc>
          <w:tcPr>
            <w:tcW w:type="pct" w:w="50%"/>
            <w:tcMar>
              <w:top w:type="dxa" w:w="80"/>
              <w:left w:type="dxa" w:w="120"/>
              <w:bottom w:type="dxa" w:w="80"/>
              <w:right w:type="dxa" w:w="120"/>
            </w:tcMar>
          </w:tcPr>
          <w:p>
            <w:pPr>
              <w:spacing w:after="60" w:before="60"/>
            </w:pPr>
            <w:r>
              <w:rPr>
                <w:b/>
                <w:bCs/>
                <w:sz w:val="20"/>
                <w:szCs w:val="20"/>
              </w:rPr>
              <w:t xml:space="preserve">[Director Name], Director</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bl>
    <w:p>
      <w:pPr>
        <w:spacing w:after="160" w:before="0"/>
      </w:pPr>
      <w:r>
        <w:t xml:space="preserve"/>
      </w:r>
    </w:p>
    <w:p>
      <w:pPr>
        <w:pBdr>
          <w:bottom w:val="single" w:color="CCCCCC" w:sz="6" w:space="1"/>
        </w:pBdr>
        <w:spacing w:after="200" w:before="200"/>
      </w:pPr>
      <w:r>
        <w:t xml:space="preserve"/>
      </w:r>
    </w:p>
    <w:p>
      <w:pPr>
        <w:pStyle w:val="Heading2"/>
        <w:keepNext/>
        <w:spacing w:after="180" w:before="360"/>
      </w:pPr>
      <w:r>
        <w:t xml:space="preserve">Attachment A — Team Plan</w:t>
      </w:r>
    </w:p>
    <w:p>
      <w:pPr>
        <w:spacing w:after="180"/>
        <w:jc w:val="both"/>
      </w:pPr>
      <w:r>
        <w:t xml:space="preserve">To the Dedicated Team Agreement dated ___________.</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Role</w:t>
            </w:r>
          </w:p>
        </w:tc>
        <w:tc>
          <w:tcPr>
            <w:tcW w:type="pct" w:w="50%"/>
            <w:shd w:fill="EEE9D4" w:val="clear"/>
            <w:tcMar>
              <w:top w:type="dxa" w:w="80"/>
              <w:left w:type="dxa" w:w="120"/>
              <w:bottom w:type="dxa" w:w="80"/>
              <w:right w:type="dxa" w:w="120"/>
            </w:tcMar>
          </w:tcPr>
          <w:p>
            <w:pPr>
              <w:spacing w:after="60" w:before="60"/>
            </w:pPr>
            <w:r>
              <w:rPr>
                <w:b/>
                <w:bCs/>
                <w:sz w:val="20"/>
                <w:szCs w:val="20"/>
              </w:rPr>
              <w:t xml:space="preserve">Count</w:t>
            </w:r>
          </w:p>
        </w:tc>
        <w:tc>
          <w:tcPr>
            <w:tcW w:type="pct" w:w="50%"/>
            <w:shd w:fill="EEE9D4" w:val="clear"/>
            <w:tcMar>
              <w:top w:type="dxa" w:w="80"/>
              <w:left w:type="dxa" w:w="120"/>
              <w:bottom w:type="dxa" w:w="80"/>
              <w:right w:type="dxa" w:w="120"/>
            </w:tcMar>
          </w:tcPr>
          <w:p>
            <w:pPr>
              <w:spacing w:after="60" w:before="60"/>
            </w:pPr>
            <w:r>
              <w:rPr>
                <w:b/>
                <w:bCs/>
                <w:sz w:val="20"/>
                <w:szCs w:val="20"/>
              </w:rPr>
              <w:t xml:space="preserve">Monthly rate, EUR (€)</w:t>
            </w:r>
          </w:p>
        </w:tc>
        <w:tc>
          <w:tcPr>
            <w:tcW w:type="pct" w:w="50%"/>
            <w:shd w:fill="EEE9D4" w:val="clear"/>
            <w:tcMar>
              <w:top w:type="dxa" w:w="80"/>
              <w:left w:type="dxa" w:w="120"/>
              <w:bottom w:type="dxa" w:w="80"/>
              <w:right w:type="dxa" w:w="120"/>
            </w:tcMar>
          </w:tcPr>
          <w:p>
            <w:pPr>
              <w:spacing w:after="60" w:before="60"/>
            </w:pPr>
            <w:r>
              <w:rPr>
                <w:b/>
                <w:bCs/>
                <w:sz w:val="20"/>
                <w:szCs w:val="20"/>
              </w:rPr>
              <w:t xml:space="preserve">Working hours</w:t>
            </w:r>
          </w:p>
        </w:tc>
      </w:tr>
      <w:tr>
        <w:tc>
          <w:tcPr>
            <w:tcW w:type="pct" w:w="50%"/>
            <w:tcMar>
              <w:top w:type="dxa" w:w="80"/>
              <w:left w:type="dxa" w:w="120"/>
              <w:bottom w:type="dxa" w:w="80"/>
              <w:right w:type="dxa" w:w="120"/>
            </w:tcMar>
          </w:tcPr>
          <w:p>
            <w:pPr>
              <w:spacing w:after="60" w:before="60"/>
            </w:pPr>
            <w:r>
              <w:rPr>
                <w:b w:val="false"/>
                <w:bCs w:val="false"/>
                <w:sz w:val="20"/>
                <w:szCs w:val="20"/>
              </w:rPr>
              <w:t xml:space="preserve">Senior Developer</w:t>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Mon–Fri, 09:00–18:00 CET</w:t>
            </w:r>
          </w:p>
        </w:tc>
      </w:tr>
      <w:tr>
        <w:tc>
          <w:tcPr>
            <w:tcW w:type="pct" w:w="50%"/>
            <w:tcMar>
              <w:top w:type="dxa" w:w="80"/>
              <w:left w:type="dxa" w:w="120"/>
              <w:bottom w:type="dxa" w:w="80"/>
              <w:right w:type="dxa" w:w="120"/>
            </w:tcMar>
          </w:tcPr>
          <w:p>
            <w:pPr>
              <w:spacing w:after="60" w:before="60"/>
            </w:pPr>
            <w:r>
              <w:rPr>
                <w:b w:val="false"/>
                <w:bCs w:val="false"/>
                <w:sz w:val="20"/>
                <w:szCs w:val="20"/>
              </w:rPr>
              <w:t xml:space="preserve">Mid-Level Developer</w:t>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Mon–Fri, 09:00–18:00 CET</w:t>
            </w:r>
          </w:p>
        </w:tc>
      </w:tr>
      <w:tr>
        <w:tc>
          <w:tcPr>
            <w:tcW w:type="pct" w:w="50%"/>
            <w:tcMar>
              <w:top w:type="dxa" w:w="80"/>
              <w:left w:type="dxa" w:w="120"/>
              <w:bottom w:type="dxa" w:w="80"/>
              <w:right w:type="dxa" w:w="120"/>
            </w:tcMar>
          </w:tcPr>
          <w:p>
            <w:pPr>
              <w:spacing w:after="60" w:before="60"/>
            </w:pPr>
            <w:r>
              <w:rPr>
                <w:b w:val="false"/>
                <w:bCs w:val="false"/>
                <w:sz w:val="20"/>
                <w:szCs w:val="20"/>
              </w:rPr>
              <w:t xml:space="preserve">QA Engineer</w:t>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Mon–Fri, 09:00–18:00 CET</w:t>
            </w:r>
          </w:p>
        </w:tc>
      </w:tr>
      <w:tr>
        <w:tc>
          <w:tcPr>
            <w:tcW w:type="pct" w:w="50%"/>
            <w:tcMar>
              <w:top w:type="dxa" w:w="80"/>
              <w:left w:type="dxa" w:w="120"/>
              <w:bottom w:type="dxa" w:w="80"/>
              <w:right w:type="dxa" w:w="120"/>
            </w:tcMar>
          </w:tcPr>
          <w:p>
            <w:pPr>
              <w:spacing w:after="60" w:before="60"/>
            </w:pPr>
            <w:r>
              <w:rPr>
                <w:b w:val="false"/>
                <w:bCs w:val="false"/>
                <w:sz w:val="20"/>
                <w:szCs w:val="20"/>
              </w:rPr>
              <w:t xml:space="preserve">Project Manager</w:t>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Mon–Fri, 09:00–18:00 CET</w:t>
            </w:r>
          </w:p>
        </w:tc>
      </w:tr>
      <w:tr>
        <w:tc>
          <w:tcPr>
            <w:tcW w:type="pct" w:w="50%"/>
            <w:tcMar>
              <w:top w:type="dxa" w:w="80"/>
              <w:left w:type="dxa" w:w="120"/>
              <w:bottom w:type="dxa" w:w="80"/>
              <w:right w:type="dxa" w:w="120"/>
            </w:tcMar>
          </w:tcPr>
          <w:p>
            <w:pPr>
              <w:spacing w:after="60" w:before="60"/>
            </w:pPr>
            <w:r>
              <w:rPr>
                <w:b/>
                <w:bCs/>
                <w:sz w:val="20"/>
                <w:szCs w:val="20"/>
              </w:rPr>
              <w:t xml:space="preserve">Total monthly retainer</w:t>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bCs/>
                <w:sz w:val="20"/>
                <w:szCs w:val="20"/>
              </w:rPr>
              <w:t xml:space="preserve">€______</w:t>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bl>
    <w:p>
      <w:pPr>
        <w:spacing w:after="160" w:before="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Договір виділеної команди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Договір виділеної команди</dc:title>
  <dc:creator>Drafters</dc:creator>
  <dc:description>Exported from Drafters — Договір виділеної команди</dc:description>
  <cp:lastModifiedBy>Un-named</cp:lastModifiedBy>
  <cp:revision>1</cp:revision>
  <dcterms:created xsi:type="dcterms:W3CDTF">2026-04-16T09:11:34.357Z</dcterms:created>
  <dcterms:modified xsi:type="dcterms:W3CDTF">2026-04-16T09:11:34.357Z</dcterms:modified>
</cp:coreProperties>
</file>

<file path=docProps/custom.xml><?xml version="1.0" encoding="utf-8"?>
<Properties xmlns="http://schemas.openxmlformats.org/officeDocument/2006/custom-properties" xmlns:vt="http://schemas.openxmlformats.org/officeDocument/2006/docPropsVTypes"/>
</file>