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Services Agreement — Acme Services GmbH</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Services Agreement</w:t>
      </w:r>
    </w:p>
    <w:p>
      <w:pPr>
        <w:pBdr>
          <w:left w:val="single" w:color="B8C2F5" w:sz="12" w:space="8"/>
        </w:pBdr>
        <w:spacing w:after="160" w:before="120"/>
        <w:ind w:left="400"/>
      </w:pPr>
      <w:r>
        <w:rPr>
          <w:i/>
          <w:iCs/>
          <w:color w:val="555555"/>
        </w:rPr>
        <w:t xml:space="preserve">**Negotiation brief.** This contract has 9 sections. Three get negotiated in almost every deal: **Liability cap** (§7 — always last to close), **IP ownership** (§4 — clients want full assignment, we want retained license for reusable tools), and **Payment terms** (§1 — cycle length and rate increase cap). The rest — dispute resolution, non-solicitation, termination — are usually accepted with minor edits.  **Key trade-offs:** - If you give on liability carve-outs (uncapped for data breach) → hold   on the overall cap multiple (12 months minimum) - If you give on full IP assignment → hold on retained license for   generic components and background IP - If you give on payment cycle (15 → 30 days) → hold on late payment   interest (0.5%/day) as your safety net</w:t>
      </w:r>
    </w:p>
    <w:p>
      <w:pPr>
        <w:spacing w:after="180"/>
        <w:jc w:val="both"/>
      </w:pPr>
      <w:r>
        <w:rPr>
          <w:b/>
          <w:bCs/>
        </w:rPr>
        <w:t xml:space="preserve">Start date:</w:t>
      </w:r>
      <w:r>
        <w:t xml:space="preserve"> ___________</w:t>
      </w:r>
    </w:p>
    <w:p>
      <w:pPr>
        <w:spacing w:after="180"/>
        <w:jc w:val="both"/>
      </w:pPr>
      <w:r>
        <w:rPr>
          <w:b/>
          <w:bCs/>
        </w:rPr>
        <w:t xml:space="preserve">Contractor:</w:t>
      </w:r>
      <w:r>
        <w:t xml:space="preserve"> </w:t>
      </w:r>
      <w:r>
        <w:rPr>
          <w:b/>
          <w:bCs/>
        </w:rPr>
        <w:t xml:space="preserve">Acme Services GmbH</w:t>
      </w:r>
      <w:r>
        <w:t xml:space="preserve">, a company incorporated under the laws of the Federal Republic of Germany, Registry code </w:t>
      </w:r>
      <w:r>
        <w:rPr>
          <w:b/>
          <w:bCs/>
        </w:rPr>
        <w:t xml:space="preserve">HRB123456X</w:t>
      </w:r>
      <w:r>
        <w:t xml:space="preserve">, VAT ID </w:t>
      </w:r>
      <w:r>
        <w:rPr>
          <w:b/>
          <w:bCs/>
        </w:rPr>
        <w:t xml:space="preserve">DE999888777</w:t>
      </w:r>
      <w:r>
        <w:t xml:space="preserve">, with its registered address at Musterstraße 1, Berlin, 10115, Germany, represented by its Director [Director Name] (hereinafter the "</w:t>
      </w:r>
      <w:r>
        <w:rPr>
          <w:b/>
          <w:bCs/>
        </w:rPr>
        <w:t xml:space="preserve">Contractor</w:t>
      </w:r>
      <w:r>
        <w:t xml:space="preserve">").</w:t>
      </w:r>
    </w:p>
    <w:p>
      <w:pPr>
        <w:spacing w:after="180"/>
        <w:jc w:val="both"/>
      </w:pPr>
      <w:r>
        <w:rPr>
          <w:b/>
          <w:bCs/>
        </w:rPr>
        <w:t xml:space="preserve">Customer:</w:t>
      </w:r>
      <w:r>
        <w:t xml:space="preserve"> ___________ (hereinafter the "</w:t>
      </w:r>
      <w:r>
        <w:rPr>
          <w:b/>
          <w:bCs/>
        </w:rPr>
        <w:t xml:space="preserve">Customer</w:t>
      </w:r>
      <w:r>
        <w:t xml:space="preserve">").</w:t>
      </w:r>
    </w:p>
    <w:p>
      <w:pPr>
        <w:pStyle w:val="Heading2"/>
        <w:keepNext/>
        <w:spacing w:after="180" w:before="360"/>
      </w:pPr>
      <w:r>
        <w:t xml:space="preserve">1. Key Terms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Service provided</w:t>
            </w:r>
          </w:p>
        </w:tc>
        <w:tc>
          <w:tcPr>
            <w:tcW w:type="pct" w:w="50%"/>
            <w:tcMar>
              <w:top w:type="dxa" w:w="80"/>
              <w:left w:type="dxa" w:w="120"/>
              <w:bottom w:type="dxa" w:w="80"/>
              <w:right w:type="dxa" w:w="120"/>
            </w:tcMar>
          </w:tcPr>
          <w:p>
            <w:pPr>
              <w:spacing w:after="60" w:before="60"/>
            </w:pPr>
            <w:r>
              <w:rPr>
                <w:b w:val="false"/>
                <w:bCs w:val="false"/>
                <w:sz w:val="20"/>
                <w:szCs w:val="20"/>
              </w:rPr>
              <w:t xml:space="preserve">Software consulting and development (hereinafter the "</w:t>
            </w:r>
            <w:r>
              <w:rPr>
                <w:b/>
                <w:bCs/>
                <w:sz w:val="20"/>
                <w:szCs w:val="20"/>
              </w:rPr>
              <w:t xml:space="preserve">Services</w:t>
            </w:r>
            <w:r>
              <w:rPr>
                <w:b w:val="false"/>
                <w:bCs w:val="false"/>
                <w:sz w:val="20"/>
                <w:szCs w:val="20"/>
              </w:rPr>
              <w:t xml:space="preserve">")</w:t>
            </w:r>
          </w:p>
        </w:tc>
      </w:tr>
      <w:tr>
        <w:tc>
          <w:tcPr>
            <w:tcW w:type="pct" w:w="50%"/>
            <w:tcMar>
              <w:top w:type="dxa" w:w="80"/>
              <w:left w:type="dxa" w:w="120"/>
              <w:bottom w:type="dxa" w:w="80"/>
              <w:right w:type="dxa" w:w="120"/>
            </w:tcMar>
          </w:tcPr>
          <w:p>
            <w:pPr>
              <w:spacing w:after="60" w:before="60"/>
            </w:pPr>
            <w:r>
              <w:rPr>
                <w:b/>
                <w:bCs/>
                <w:sz w:val="20"/>
                <w:szCs w:val="20"/>
              </w:rPr>
              <w:t xml:space="preserve">Payments for Services</w:t>
            </w:r>
          </w:p>
        </w:tc>
        <w:tc>
          <w:tcPr>
            <w:tcW w:type="pct" w:w="50%"/>
            <w:tcMar>
              <w:top w:type="dxa" w:w="80"/>
              <w:left w:type="dxa" w:w="120"/>
              <w:bottom w:type="dxa" w:w="80"/>
              <w:right w:type="dxa" w:w="120"/>
            </w:tcMar>
          </w:tcPr>
          <w:p>
            <w:pPr>
              <w:spacing w:after="60" w:before="60"/>
            </w:pPr>
            <w:r>
              <w:rPr>
                <w:b/>
                <w:bCs/>
                <w:sz w:val="20"/>
                <w:szCs w:val="20"/>
              </w:rPr>
              <w:t xml:space="preserve">Prepayment</w:t>
            </w:r>
            <w:r>
              <w:rPr>
                <w:b w:val="false"/>
                <w:bCs w:val="false"/>
                <w:sz w:val="20"/>
                <w:szCs w:val="20"/>
              </w:rPr>
              <w:t xml:space="preserve">, based on the estimated number of hours to be spent in the next month.</w:t>
            </w:r>
          </w:p>
        </w:tc>
      </w:tr>
      <w:tr>
        <w:tc>
          <w:tcPr>
            <w:tcW w:type="pct" w:w="50%"/>
            <w:tcMar>
              <w:top w:type="dxa" w:w="80"/>
              <w:left w:type="dxa" w:w="120"/>
              <w:bottom w:type="dxa" w:w="80"/>
              <w:right w:type="dxa" w:w="120"/>
            </w:tcMar>
          </w:tcPr>
          <w:p>
            <w:pPr>
              <w:spacing w:after="60" w:before="60"/>
            </w:pPr>
            <w:r>
              <w:rPr>
                <w:b/>
                <w:bCs/>
                <w:sz w:val="20"/>
                <w:szCs w:val="20"/>
              </w:rPr>
              <w:t xml:space="preserve">Invoicing</w:t>
            </w:r>
          </w:p>
        </w:tc>
        <w:tc>
          <w:tcPr>
            <w:tcW w:type="pct" w:w="50%"/>
            <w:tcMar>
              <w:top w:type="dxa" w:w="80"/>
              <w:left w:type="dxa" w:w="120"/>
              <w:bottom w:type="dxa" w:w="80"/>
              <w:right w:type="dxa" w:w="120"/>
            </w:tcMar>
          </w:tcPr>
          <w:p>
            <w:pPr>
              <w:spacing w:after="60" w:before="60"/>
            </w:pPr>
            <w:r>
              <w:rPr>
                <w:b w:val="false"/>
                <w:bCs w:val="false"/>
                <w:sz w:val="20"/>
                <w:szCs w:val="20"/>
              </w:rPr>
              <w:t xml:space="preserve">Every month. The Customer must pay within </w:t>
            </w:r>
            <w:r>
              <w:rPr>
                <w:b/>
                <w:bCs/>
                <w:sz w:val="20"/>
                <w:szCs w:val="20"/>
              </w:rPr>
              <w:t xml:space="preserve">15 calendar days</w:t>
            </w:r>
            <w:r>
              <w:rPr>
                <w:b w:val="false"/>
                <w:bCs w:val="false"/>
                <w:sz w:val="20"/>
                <w:szCs w:val="20"/>
              </w:rPr>
              <w:t xml:space="preserve"> from the invoice date.</w:t>
            </w:r>
          </w:p>
        </w:tc>
      </w:tr>
      <w:tr>
        <w:tc>
          <w:tcPr>
            <w:tcW w:type="pct" w:w="50%"/>
            <w:tcMar>
              <w:top w:type="dxa" w:w="80"/>
              <w:left w:type="dxa" w:w="120"/>
              <w:bottom w:type="dxa" w:w="80"/>
              <w:right w:type="dxa" w:w="120"/>
            </w:tcMar>
          </w:tcPr>
          <w:p>
            <w:pPr>
              <w:spacing w:after="60" w:before="60"/>
            </w:pPr>
            <w:r>
              <w:rPr>
                <w:b/>
                <w:bCs/>
                <w:sz w:val="20"/>
                <w:szCs w:val="20"/>
              </w:rPr>
              <w:t xml:space="preserve">Payment transfers</w:t>
            </w:r>
          </w:p>
        </w:tc>
        <w:tc>
          <w:tcPr>
            <w:tcW w:type="pct" w:w="50%"/>
            <w:tcMar>
              <w:top w:type="dxa" w:w="80"/>
              <w:left w:type="dxa" w:w="120"/>
              <w:bottom w:type="dxa" w:w="80"/>
              <w:right w:type="dxa" w:w="120"/>
            </w:tcMar>
          </w:tcPr>
          <w:p>
            <w:pPr>
              <w:spacing w:after="60" w:before="60"/>
            </w:pPr>
            <w:r>
              <w:rPr>
                <w:b w:val="false"/>
                <w:bCs w:val="false"/>
                <w:sz w:val="20"/>
                <w:szCs w:val="20"/>
              </w:rPr>
              <w:t xml:space="preserve">To the banking account specified in the invoice. The sending party covers bank charges.</w:t>
            </w:r>
          </w:p>
        </w:tc>
      </w:tr>
      <w:tr>
        <w:tc>
          <w:tcPr>
            <w:tcW w:type="pct" w:w="50%"/>
            <w:tcMar>
              <w:top w:type="dxa" w:w="80"/>
              <w:left w:type="dxa" w:w="120"/>
              <w:bottom w:type="dxa" w:w="80"/>
              <w:right w:type="dxa" w:w="120"/>
            </w:tcMar>
          </w:tcPr>
          <w:p>
            <w:pPr>
              <w:spacing w:after="60" w:before="60"/>
            </w:pPr>
            <w:r>
              <w:rPr>
                <w:b/>
                <w:bCs/>
                <w:sz w:val="20"/>
                <w:szCs w:val="20"/>
              </w:rPr>
              <w:t xml:space="preserve">Term and Termination</w:t>
            </w:r>
          </w:p>
        </w:tc>
        <w:tc>
          <w:tcPr>
            <w:tcW w:type="pct" w:w="50%"/>
            <w:tcMar>
              <w:top w:type="dxa" w:w="80"/>
              <w:left w:type="dxa" w:w="120"/>
              <w:bottom w:type="dxa" w:w="80"/>
              <w:right w:type="dxa" w:w="120"/>
            </w:tcMar>
          </w:tcPr>
          <w:p>
            <w:pPr>
              <w:spacing w:after="60" w:before="60"/>
            </w:pPr>
            <w:r>
              <w:rPr>
                <w:b w:val="false"/>
                <w:bCs w:val="false"/>
                <w:sz w:val="20"/>
                <w:szCs w:val="20"/>
              </w:rPr>
              <w:t xml:space="preserve">At-will termination with </w:t>
            </w:r>
            <w:r>
              <w:rPr>
                <w:b/>
                <w:bCs/>
                <w:sz w:val="20"/>
                <w:szCs w:val="20"/>
              </w:rPr>
              <w:t xml:space="preserve">30 days</w:t>
            </w:r>
            <w:r>
              <w:rPr>
                <w:b w:val="false"/>
                <w:bCs w:val="false"/>
                <w:sz w:val="20"/>
                <w:szCs w:val="20"/>
              </w:rPr>
              <w:t xml:space="preserve"> prior notice, then 14.</w:t>
            </w:r>
          </w:p>
        </w:tc>
      </w:tr>
      <w:tr>
        <w:tc>
          <w:tcPr>
            <w:tcW w:type="pct" w:w="50%"/>
            <w:tcMar>
              <w:top w:type="dxa" w:w="80"/>
              <w:left w:type="dxa" w:w="120"/>
              <w:bottom w:type="dxa" w:w="80"/>
              <w:right w:type="dxa" w:w="120"/>
            </w:tcMar>
          </w:tcPr>
          <w:p>
            <w:pPr>
              <w:spacing w:after="60" w:before="60"/>
            </w:pPr>
            <w:r>
              <w:rPr>
                <w:b/>
                <w:bCs/>
                <w:sz w:val="20"/>
                <w:szCs w:val="20"/>
              </w:rPr>
              <w:t xml:space="preserve">Team</w:t>
            </w:r>
          </w:p>
        </w:tc>
        <w:tc>
          <w:tcPr>
            <w:tcW w:type="pct" w:w="50%"/>
            <w:tcMar>
              <w:top w:type="dxa" w:w="80"/>
              <w:left w:type="dxa" w:w="120"/>
              <w:bottom w:type="dxa" w:w="80"/>
              <w:right w:type="dxa" w:w="120"/>
            </w:tcMar>
          </w:tcPr>
          <w:p>
            <w:pPr>
              <w:spacing w:after="60" w:before="60"/>
            </w:pPr>
            <w:r>
              <w:rPr>
                <w:b w:val="false"/>
                <w:bCs w:val="false"/>
                <w:sz w:val="20"/>
                <w:szCs w:val="20"/>
              </w:rPr>
              <w:t xml:space="preserve">The Contractor may engage subcontractors.</w:t>
            </w:r>
          </w:p>
        </w:tc>
      </w:tr>
      <w:tr>
        <w:tc>
          <w:tcPr>
            <w:tcW w:type="pct" w:w="50%"/>
            <w:tcMar>
              <w:top w:type="dxa" w:w="80"/>
              <w:left w:type="dxa" w:w="120"/>
              <w:bottom w:type="dxa" w:w="80"/>
              <w:right w:type="dxa" w:w="120"/>
            </w:tcMar>
          </w:tcPr>
          <w:p>
            <w:pPr>
              <w:spacing w:after="60" w:before="60"/>
            </w:pPr>
            <w:r>
              <w:rPr>
                <w:b/>
                <w:bCs/>
                <w:sz w:val="20"/>
                <w:szCs w:val="20"/>
              </w:rPr>
              <w:t xml:space="preserve">Overtime</w:t>
            </w:r>
          </w:p>
        </w:tc>
        <w:tc>
          <w:tcPr>
            <w:tcW w:type="pct" w:w="50%"/>
            <w:tcMar>
              <w:top w:type="dxa" w:w="80"/>
              <w:left w:type="dxa" w:w="120"/>
              <w:bottom w:type="dxa" w:w="80"/>
              <w:right w:type="dxa" w:w="120"/>
            </w:tcMar>
          </w:tcPr>
          <w:p>
            <w:pPr>
              <w:spacing w:after="60" w:before="60"/>
            </w:pPr>
            <w:r>
              <w:rPr>
                <w:b w:val="false"/>
                <w:bCs w:val="false"/>
                <w:sz w:val="20"/>
                <w:szCs w:val="20"/>
              </w:rPr>
              <w:t xml:space="preserve">Overtime = </w:t>
            </w:r>
            <w:r>
              <w:rPr>
                <w:b/>
                <w:bCs/>
                <w:sz w:val="20"/>
                <w:szCs w:val="20"/>
              </w:rPr>
              <w:t xml:space="preserve">2× Rate</w:t>
            </w:r>
            <w:r>
              <w:rPr>
                <w:b w:val="false"/>
                <w:bCs w:val="false"/>
                <w:sz w:val="20"/>
                <w:szCs w:val="20"/>
              </w:rPr>
              <w:t xml:space="preserve">. Only with Customer's written approval.</w:t>
            </w:r>
          </w:p>
        </w:tc>
      </w:tr>
      <w:tr>
        <w:tc>
          <w:tcPr>
            <w:tcW w:type="pct" w:w="50%"/>
            <w:tcMar>
              <w:top w:type="dxa" w:w="80"/>
              <w:left w:type="dxa" w:w="120"/>
              <w:bottom w:type="dxa" w:w="80"/>
              <w:right w:type="dxa" w:w="120"/>
            </w:tcMar>
          </w:tcPr>
          <w:p>
            <w:pPr>
              <w:spacing w:after="60" w:before="60"/>
            </w:pPr>
            <w:r>
              <w:rPr>
                <w:b/>
                <w:bCs/>
                <w:sz w:val="20"/>
                <w:szCs w:val="20"/>
              </w:rPr>
              <w:t xml:space="preserve">Rate increase</w:t>
            </w:r>
          </w:p>
        </w:tc>
        <w:tc>
          <w:tcPr>
            <w:tcW w:type="pct" w:w="50%"/>
            <w:tcMar>
              <w:top w:type="dxa" w:w="80"/>
              <w:left w:type="dxa" w:w="120"/>
              <w:bottom w:type="dxa" w:w="80"/>
              <w:right w:type="dxa" w:w="120"/>
            </w:tcMar>
          </w:tcPr>
          <w:p>
            <w:pPr>
              <w:spacing w:after="60" w:before="60"/>
            </w:pPr>
            <w:r>
              <w:rPr>
                <w:b w:val="false"/>
                <w:bCs w:val="false"/>
                <w:sz w:val="20"/>
                <w:szCs w:val="20"/>
              </w:rPr>
              <w:t xml:space="preserve">No more than once every 12 months. Not more than </w:t>
            </w:r>
            <w:r>
              <w:rPr>
                <w:b/>
                <w:bCs/>
                <w:sz w:val="20"/>
                <w:szCs w:val="20"/>
              </w:rPr>
              <w:t xml:space="preserve">12%</w:t>
            </w:r>
            <w:r>
              <w:rPr>
                <w:b w:val="false"/>
                <w:bCs w:val="false"/>
                <w:sz w:val="20"/>
                <w:szCs w:val="20"/>
              </w:rPr>
              <w:t xml:space="preserve"> annually.</w:t>
            </w:r>
          </w:p>
        </w:tc>
      </w:tr>
    </w:tbl>
    <w:p>
      <w:pPr>
        <w:spacing w:after="160" w:before="0"/>
      </w:pPr>
      <w:r>
        <w:t xml:space="preserve"/>
      </w:r>
    </w:p>
    <w:p>
      <w:pPr>
        <w:pBdr>
          <w:left w:val="single" w:color="B8C2F5" w:sz="12" w:space="8"/>
        </w:pBdr>
        <w:spacing w:after="160" w:before="120"/>
        <w:ind w:left="400"/>
      </w:pPr>
      <w:r>
        <w:rPr>
          <w:i/>
          <w:iCs/>
          <w:color w:val="555555"/>
        </w:rPr>
        <w:t xml:space="preserve">**🔍 Negotiation note — Payment terms.** 15 days is our standard for prepayment. Clients often request 30 or 45. Up to 30 is acceptable if combined with late payment interest. Beyond 30 — only for large, reliable clients. The 12% rate increase cap is a maximum, not automatic — in practice we increase 5-8%. If client pushes below 10%, accept 8-10% but no lower.</w:t>
      </w:r>
    </w:p>
    <w:p>
      <w:pPr>
        <w:pStyle w:val="Heading2"/>
        <w:keepNext/>
        <w:spacing w:after="180" w:before="360"/>
      </w:pPr>
      <w:r>
        <w:t xml:space="preserve">2. Payments</w:t>
      </w:r>
    </w:p>
    <w:p>
      <w:pPr>
        <w:spacing w:after="180"/>
        <w:jc w:val="both"/>
      </w:pPr>
      <w:r>
        <w:rPr>
          <w:b/>
          <w:bCs/>
        </w:rPr>
        <w:t xml:space="preserve">Payment Dispute.</w:t>
      </w:r>
      <w:r>
        <w:t xml:space="preserve"> If any amount claimed as payable is disputed in good faith, the </w:t>
      </w:r>
      <w:r>
        <w:rPr>
          <w:b/>
          <w:bCs/>
        </w:rPr>
        <w:t xml:space="preserve">Customer</w:t>
      </w:r>
      <w:r>
        <w:t xml:space="preserve"> shall pay the undisputed portion and give a </w:t>
      </w:r>
      <w:r>
        <w:rPr>
          <w:b/>
          <w:bCs/>
        </w:rPr>
        <w:t xml:space="preserve">5 business days</w:t>
      </w:r>
      <w:r>
        <w:t xml:space="preserve"> notice specifying the basis of the dispute in reasonable detail.</w:t>
      </w:r>
    </w:p>
    <w:p>
      <w:pPr>
        <w:spacing w:after="180"/>
        <w:jc w:val="both"/>
      </w:pPr>
      <w:r>
        <w:t xml:space="preserve">Payments that are undisputed by the Customer within 5 business days of receipt are considered accepted.</w:t>
      </w:r>
    </w:p>
    <w:p>
      <w:pPr>
        <w:spacing w:after="180"/>
        <w:jc w:val="both"/>
      </w:pPr>
      <w:r>
        <w:rPr>
          <w:b/>
          <w:bCs/>
        </w:rPr>
        <w:t xml:space="preserve">Late Payments.</w:t>
      </w:r>
      <w:r>
        <w:t xml:space="preserve"> If the Customer does not pay invoices when due, interest on the unpaid amounts of </w:t>
      </w:r>
      <w:r>
        <w:rPr>
          <w:b/>
          <w:bCs/>
        </w:rPr>
        <w:t xml:space="preserve">0.5% per calendar day</w:t>
      </w:r>
      <w:r>
        <w:t xml:space="preserve"> will be charged starting the day after the payment becomes due.</w:t>
      </w:r>
    </w:p>
    <w:p>
      <w:pPr>
        <w:pStyle w:val="Heading2"/>
        <w:keepNext/>
        <w:spacing w:after="180" w:before="360"/>
      </w:pPr>
      <w:r>
        <w:t xml:space="preserve">How this clause works in practice</w:t>
      </w:r>
    </w:p>
    <w:p>
      <w:pPr>
        <w:spacing w:after="180"/>
        <w:jc w:val="both"/>
      </w:pPr>
      <w:r>
        <w:t xml:space="preserve">Defensive mechanism for two reasons:</w:t>
      </w:r>
    </w:p>
    <w:p>
      <w:pPr>
        <w:pStyle w:val="ListParagraph"/>
        <w:numPr>
          <w:ilvl w:val="0"/>
          <w:numId w:val="2"/>
        </w:numPr>
        <w:spacing w:after="60"/>
      </w:pPr>
      <w:r>
        <w:rPr>
          <w:b/>
          <w:bCs/>
        </w:rPr>
        <w:t xml:space="preserve">Psychological pressure.</w:t>
      </w:r>
      <w:r>
        <w:t xml:space="preserve"> 0.5%/day ≈ 180% annualized. Client</w:t>
      </w:r>
    </w:p>
    <w:p>
      <w:pPr>
        <w:spacing w:after="180"/>
        <w:jc w:val="both"/>
      </w:pPr>
      <w:r>
        <w:t xml:space="preserve">finance teams notice this number and bump our invoices up the payment queue.</w:t>
      </w:r>
    </w:p>
    <w:p>
      <w:pPr>
        <w:pStyle w:val="ListParagraph"/>
        <w:numPr>
          <w:ilvl w:val="0"/>
          <w:numId w:val="2"/>
        </w:numPr>
        <w:spacing w:after="60"/>
      </w:pPr>
      <w:r>
        <w:rPr>
          <w:b/>
          <w:bCs/>
        </w:rPr>
        <w:t xml:space="preserve">Legal footing.</w:t>
      </w:r>
      <w:r>
        <w:t xml:space="preserve"> If collection escalates to court, we have</w:t>
      </w:r>
    </w:p>
    <w:p>
      <w:pPr>
        <w:spacing w:after="180"/>
        <w:jc w:val="both"/>
      </w:pPr>
      <w:r>
        <w:t xml:space="preserve">a clean contractual basis for including interest in the claim, without renegotiation.</w:t>
      </w:r>
    </w:p>
    <w:p>
      <w:pPr>
        <w:pBdr>
          <w:left w:val="single" w:color="B8C2F5" w:sz="12" w:space="8"/>
        </w:pBdr>
        <w:spacing w:after="160" w:before="120"/>
        <w:ind w:left="400"/>
      </w:pPr>
      <w:r>
        <w:rPr>
          <w:i/>
          <w:iCs/>
          <w:color w:val="555555"/>
        </w:rPr>
        <w:t xml:space="preserve">**🔗 How these two clauses interact.** Payment dispute is the process (client disputes → pays undisputed portion → 5 days to resolve). Late payment interest is the consequence (0.5%/day after due date). Together they create a two-layer system: fair process first, financial pressure second. Don't remove one without the other.</w:t>
      </w:r>
    </w:p>
    <w:p>
      <w:pPr>
        <w:pStyle w:val="Heading2"/>
        <w:keepNext/>
        <w:spacing w:after="180" w:before="360"/>
      </w:pPr>
      <w:r>
        <w:t xml:space="preserve">3. Non-solicitation</w:t>
      </w:r>
    </w:p>
    <w:p>
      <w:pPr>
        <w:spacing w:after="180"/>
        <w:jc w:val="both"/>
      </w:pPr>
      <w:r>
        <w:t xml:space="preserve">During the term of this agreement and for </w:t>
      </w:r>
      <w:r>
        <w:rPr>
          <w:b/>
          <w:bCs/>
        </w:rPr>
        <w:t xml:space="preserve">1 year</w:t>
      </w:r>
      <w:r>
        <w:t xml:space="preserve"> after its termination, the Customer shall not solicit, hire or encourage to leave employment any person who is an employee or subcontractor of the Contractor.</w:t>
      </w:r>
    </w:p>
    <w:p>
      <w:pPr>
        <w:spacing w:after="180"/>
        <w:jc w:val="both"/>
      </w:pPr>
      <w:r>
        <w:t xml:space="preserve">If any employee or subcontractor of the Contractor independently approaches the Customer about employment, the Customer shall immediately suspend such a request and notify the Contractor.</w:t>
      </w:r>
    </w:p>
    <w:p>
      <w:pPr>
        <w:pBdr>
          <w:left w:val="single" w:color="B8C2F5" w:sz="12" w:space="8"/>
        </w:pBdr>
        <w:spacing w:after="160" w:before="120"/>
        <w:ind w:left="400"/>
      </w:pPr>
      <w:r>
        <w:rPr>
          <w:i/>
          <w:iCs/>
          <w:color w:val="555555"/>
        </w:rPr>
        <w:t xml:space="preserve">**🔍 Negotiation note.** Clients rarely push back on non-solicitation. When they do, it's usually about the 1-year period (ask for 6 months) or about "independent approach" (they want to hire people who come to them unsolicited). The "suspend and notify" language is our compromise — we don't block the hire, we just want to know.</w:t>
      </w:r>
    </w:p>
    <w:p>
      <w:pPr>
        <w:pStyle w:val="Heading2"/>
        <w:keepNext/>
        <w:spacing w:after="180" w:before="360"/>
      </w:pPr>
      <w:r>
        <w:t xml:space="preserve">4. Deliverables and Intellectual Property</w:t>
      </w:r>
    </w:p>
    <w:p>
      <w:pPr>
        <w:spacing w:after="180"/>
        <w:jc w:val="both"/>
      </w:pPr>
      <w:r>
        <w:rPr>
          <w:b/>
          <w:bCs/>
        </w:rPr>
        <w:t xml:space="preserve">Final Works.</w:t>
      </w:r>
      <w:r>
        <w:t xml:space="preserve"> The Contractor transfers to the Customer all intellectual property rights (IP rights) in all materials developed for or provided to the Customer by the Contractor through the performance of Services (Deliverables), </w:t>
      </w:r>
      <w:r>
        <w:rPr>
          <w:b/>
          <w:bCs/>
        </w:rPr>
        <w:t xml:space="preserve">as necessary payments are made</w:t>
      </w:r>
      <w:r>
        <w:t xml:space="preserve"> during the agreement. If the agreement is terminated, the Contractor shall transfer all finished and unfinished Deliverables previously paid for.</w:t>
      </w:r>
    </w:p>
    <w:p>
      <w:pPr>
        <w:spacing w:after="180"/>
        <w:jc w:val="both"/>
      </w:pPr>
      <w:r>
        <w:rPr>
          <w:b/>
          <w:bCs/>
        </w:rPr>
        <w:t xml:space="preserve">No copyleft licenses.</w:t>
      </w:r>
      <w:r>
        <w:t xml:space="preserve"> The Contractor warrants that it has not included or used, and will not include or use, any Open-Source Software or any libraries or code licensed under the General Public License, AGPL, or any similar copyleft license in the Software, where such license would require the Customer to license the Software onwards or otherwise make it available to others, without the Customer's prior written consent.</w:t>
      </w:r>
    </w:p>
    <w:p>
      <w:pPr>
        <w:pStyle w:val="Heading2"/>
        <w:keepNext/>
        <w:spacing w:after="180" w:before="360"/>
      </w:pPr>
      <w:r>
        <w:t xml:space="preserve">How this works in practice</w:t>
      </w:r>
    </w:p>
    <w:p>
      <w:pPr>
        <w:spacing w:after="180"/>
        <w:jc w:val="both"/>
      </w:pPr>
      <w:r>
        <w:t xml:space="preserve">Three principled differences from the subcontract version:</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Aspect</w:t>
            </w:r>
          </w:p>
        </w:tc>
        <w:tc>
          <w:tcPr>
            <w:tcW w:type="pct" w:w="50%"/>
            <w:shd w:fill="EEE9D4" w:val="clear"/>
            <w:tcMar>
              <w:top w:type="dxa" w:w="80"/>
              <w:left w:type="dxa" w:w="120"/>
              <w:bottom w:type="dxa" w:w="80"/>
              <w:right w:type="dxa" w:w="120"/>
            </w:tcMar>
          </w:tcPr>
          <w:p>
            <w:pPr>
              <w:spacing w:after="60" w:before="60"/>
            </w:pPr>
            <w:r>
              <w:rPr>
                <w:b/>
                <w:bCs/>
                <w:sz w:val="20"/>
                <w:szCs w:val="20"/>
              </w:rPr>
              <w:t xml:space="preserve">Subcontract (Dev)</w:t>
            </w:r>
          </w:p>
        </w:tc>
        <w:tc>
          <w:tcPr>
            <w:tcW w:type="pct" w:w="50%"/>
            <w:shd w:fill="EEE9D4" w:val="clear"/>
            <w:tcMar>
              <w:top w:type="dxa" w:w="80"/>
              <w:left w:type="dxa" w:w="120"/>
              <w:bottom w:type="dxa" w:w="80"/>
              <w:right w:type="dxa" w:w="120"/>
            </w:tcMar>
          </w:tcPr>
          <w:p>
            <w:pPr>
              <w:spacing w:after="60" w:before="60"/>
            </w:pPr>
            <w:r>
              <w:rPr>
                <w:b/>
                <w:bCs/>
                <w:sz w:val="20"/>
                <w:szCs w:val="20"/>
              </w:rPr>
              <w:t xml:space="preserve">Services Agreement</w:t>
            </w:r>
          </w:p>
        </w:tc>
      </w:tr>
      <w:tr>
        <w:tc>
          <w:tcPr>
            <w:tcW w:type="pct" w:w="50%"/>
            <w:tcMar>
              <w:top w:type="dxa" w:w="80"/>
              <w:left w:type="dxa" w:w="120"/>
              <w:bottom w:type="dxa" w:w="80"/>
              <w:right w:type="dxa" w:w="120"/>
            </w:tcMar>
          </w:tcPr>
          <w:p>
            <w:pPr>
              <w:spacing w:after="60" w:before="60"/>
            </w:pPr>
            <w:r>
              <w:rPr>
                <w:b w:val="false"/>
                <w:bCs w:val="false"/>
                <w:sz w:val="20"/>
                <w:szCs w:val="20"/>
              </w:rPr>
              <w:t xml:space="preserve">Direction</w:t>
            </w:r>
          </w:p>
        </w:tc>
        <w:tc>
          <w:tcPr>
            <w:tcW w:type="pct" w:w="50%"/>
            <w:tcMar>
              <w:top w:type="dxa" w:w="80"/>
              <w:left w:type="dxa" w:w="120"/>
              <w:bottom w:type="dxa" w:w="80"/>
              <w:right w:type="dxa" w:w="120"/>
            </w:tcMar>
          </w:tcPr>
          <w:p>
            <w:pPr>
              <w:spacing w:after="60" w:before="60"/>
            </w:pPr>
            <w:r>
              <w:rPr>
                <w:b w:val="false"/>
                <w:bCs w:val="false"/>
                <w:sz w:val="20"/>
                <w:szCs w:val="20"/>
              </w:rPr>
              <w:t xml:space="preserve">Subcontractor → Contractor</w:t>
            </w:r>
          </w:p>
        </w:tc>
        <w:tc>
          <w:tcPr>
            <w:tcW w:type="pct" w:w="50%"/>
            <w:tcMar>
              <w:top w:type="dxa" w:w="80"/>
              <w:left w:type="dxa" w:w="120"/>
              <w:bottom w:type="dxa" w:w="80"/>
              <w:right w:type="dxa" w:w="120"/>
            </w:tcMar>
          </w:tcPr>
          <w:p>
            <w:pPr>
              <w:spacing w:after="60" w:before="60"/>
            </w:pPr>
            <w:r>
              <w:rPr>
                <w:b w:val="false"/>
                <w:bCs w:val="false"/>
                <w:sz w:val="20"/>
                <w:szCs w:val="20"/>
              </w:rPr>
              <w:t xml:space="preserve">Contractor → Customer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Transfer timing</w:t>
            </w:r>
          </w:p>
        </w:tc>
        <w:tc>
          <w:tcPr>
            <w:tcW w:type="pct" w:w="50%"/>
            <w:tcMar>
              <w:top w:type="dxa" w:w="80"/>
              <w:left w:type="dxa" w:w="120"/>
              <w:bottom w:type="dxa" w:w="80"/>
              <w:right w:type="dxa" w:w="120"/>
            </w:tcMar>
          </w:tcPr>
          <w:p>
            <w:pPr>
              <w:spacing w:after="60" w:before="60"/>
            </w:pPr>
            <w:r>
              <w:rPr>
                <w:b w:val="false"/>
                <w:bCs w:val="false"/>
                <w:sz w:val="20"/>
                <w:szCs w:val="20"/>
              </w:rPr>
              <w:t xml:space="preserve">Exclusively after full payment of all fees</w:t>
            </w:r>
          </w:p>
        </w:tc>
        <w:tc>
          <w:tcPr>
            <w:tcW w:type="pct" w:w="50%"/>
            <w:tcMar>
              <w:top w:type="dxa" w:w="80"/>
              <w:left w:type="dxa" w:w="120"/>
              <w:bottom w:type="dxa" w:w="80"/>
              <w:right w:type="dxa" w:w="120"/>
            </w:tcMar>
          </w:tcPr>
          <w:p>
            <w:pPr>
              <w:spacing w:after="60" w:before="60"/>
            </w:pPr>
            <w:r>
              <w:rPr>
                <w:b w:val="false"/>
                <w:bCs w:val="false"/>
                <w:sz w:val="20"/>
                <w:szCs w:val="20"/>
              </w:rPr>
              <w:t xml:space="preserve">Rolling, as payments are made</w:t>
            </w:r>
          </w:p>
        </w:tc>
      </w:tr>
      <w:tr>
        <w:tc>
          <w:tcPr>
            <w:tcW w:type="pct" w:w="50%"/>
            <w:tcMar>
              <w:top w:type="dxa" w:w="80"/>
              <w:left w:type="dxa" w:w="120"/>
              <w:bottom w:type="dxa" w:w="80"/>
              <w:right w:type="dxa" w:w="120"/>
            </w:tcMar>
          </w:tcPr>
          <w:p>
            <w:pPr>
              <w:spacing w:after="60" w:before="60"/>
            </w:pPr>
            <w:r>
              <w:rPr>
                <w:b w:val="false"/>
                <w:bCs w:val="false"/>
                <w:sz w:val="20"/>
                <w:szCs w:val="20"/>
              </w:rPr>
              <w:t xml:space="preserve">On termination</w:t>
            </w:r>
          </w:p>
        </w:tc>
        <w:tc>
          <w:tcPr>
            <w:tcW w:type="pct" w:w="50%"/>
            <w:tcMar>
              <w:top w:type="dxa" w:w="80"/>
              <w:left w:type="dxa" w:w="120"/>
              <w:bottom w:type="dxa" w:w="80"/>
              <w:right w:type="dxa" w:w="120"/>
            </w:tcMar>
          </w:tcPr>
          <w:p>
            <w:pPr>
              <w:spacing w:after="60" w:before="60"/>
            </w:pPr>
            <w:r>
              <w:rPr>
                <w:b w:val="false"/>
                <w:bCs w:val="false"/>
                <w:sz w:val="20"/>
                <w:szCs w:val="20"/>
              </w:rPr>
              <w:t xml:space="preserve">—</w:t>
            </w:r>
          </w:p>
        </w:tc>
        <w:tc>
          <w:tcPr>
            <w:tcW w:type="pct" w:w="50%"/>
            <w:tcMar>
              <w:top w:type="dxa" w:w="80"/>
              <w:left w:type="dxa" w:w="120"/>
              <w:bottom w:type="dxa" w:w="80"/>
              <w:right w:type="dxa" w:w="120"/>
            </w:tcMar>
          </w:tcPr>
          <w:p>
            <w:pPr>
              <w:spacing w:after="60" w:before="60"/>
            </w:pPr>
            <w:r>
              <w:rPr>
                <w:b w:val="false"/>
                <w:bCs w:val="false"/>
                <w:sz w:val="20"/>
                <w:szCs w:val="20"/>
              </w:rPr>
              <w:t xml:space="preserve">We transfer all paid-for work, including unfinished</w:t>
            </w:r>
          </w:p>
        </w:tc>
      </w:tr>
    </w:tbl>
    <w:p>
      <w:pPr>
        <w:spacing w:after="160" w:before="0"/>
      </w:pPr>
      <w:r>
        <w:t xml:space="preserve"/>
      </w:r>
    </w:p>
    <w:p>
      <w:pPr>
        <w:spacing w:after="180"/>
        <w:jc w:val="both"/>
      </w:pPr>
      <w:r>
        <w:rPr>
          <w:b/>
          <w:bCs/>
        </w:rPr>
        <w:t xml:space="preserve">Rolling IP transfer</w:t>
      </w:r>
      <w:r>
        <w:t xml:space="preserve"> is the important change. The client gets rights </w:t>
      </w:r>
      <w:r>
        <w:rPr>
          <w:b/>
          <w:bCs/>
        </w:rPr>
        <w:t xml:space="preserve">progressively as they pay</w:t>
      </w:r>
      <w:r>
        <w:t xml:space="preserve">, not "all or nothing after the last invoice." This protects the client if we stop working mid- project for any reason — they retain rights to what they paid for and can continue development with another contractor.</w:t>
      </w:r>
    </w:p>
    <w:p>
      <w:pPr>
        <w:pBdr>
          <w:left w:val="single" w:color="B8C2F5" w:sz="12" w:space="8"/>
        </w:pBdr>
        <w:spacing w:after="160" w:before="120"/>
        <w:ind w:left="400"/>
      </w:pPr>
      <w:r>
        <w:rPr>
          <w:i/>
          <w:iCs/>
          <w:color w:val="555555"/>
        </w:rPr>
        <w:t xml:space="preserve">**🔗 Critical interaction: IP ↔ Payment.** IP transfers to the Customer **only after full payment**. This is the Contractor's primary leverage in payment disputes. If you negotiate IP terms separately from payment terms, you lose this leverage. Always keep them linked.  **🔍 Common client redline:** "We want IP to transfer on creation, not on payment." Response: "Work product created before payment carries our risk. Assignment on payment is the industry standard and protects both sides — you get clean title, we get paid."  **Trade-off:** If client insists on full foreground IP assignment (which is our default), make sure background IP and generic tools/frameworks are explicitly excluded. We need to reuse our internal libraries across clients.</w:t>
      </w:r>
    </w:p>
    <w:p>
      <w:pPr>
        <w:pStyle w:val="Heading2"/>
        <w:keepNext/>
        <w:spacing w:after="180" w:before="360"/>
      </w:pPr>
      <w:r>
        <w:t xml:space="preserve">5. Publicity</w:t>
      </w:r>
    </w:p>
    <w:p>
      <w:pPr>
        <w:spacing w:after="180"/>
        <w:jc w:val="both"/>
      </w:pPr>
      <w:r>
        <w:t xml:space="preserve">The Contractor may mention a general description of the services provided to the Customer on the Contractor's website for marketing purposes only, and only with the Customer's prior written consent.</w:t>
      </w:r>
    </w:p>
    <w:p>
      <w:pPr>
        <w:pStyle w:val="Heading2"/>
        <w:keepNext/>
        <w:spacing w:after="180" w:before="360"/>
      </w:pPr>
      <w:r>
        <w:t xml:space="preserve">6. Term and Termination</w:t>
      </w:r>
    </w:p>
    <w:p>
      <w:pPr>
        <w:spacing w:after="180"/>
        <w:jc w:val="both"/>
      </w:pPr>
      <w:r>
        <w:rPr>
          <w:b/>
          <w:bCs/>
        </w:rPr>
        <w:t xml:space="preserve">Term.</w:t>
      </w:r>
      <w:r>
        <w:t xml:space="preserve"> This agreement takes effect on the Start date and continues until terminated by either party in accordance with the terms below.</w:t>
      </w:r>
    </w:p>
    <w:p>
      <w:pPr>
        <w:spacing w:after="180"/>
        <w:jc w:val="both"/>
      </w:pPr>
      <w:r>
        <w:rPr>
          <w:b/>
          <w:bCs/>
        </w:rPr>
        <w:t xml:space="preserve">At-will termination.</w:t>
      </w:r>
      <w:r>
        <w:t xml:space="preserve"> Either party may terminate this agreement at any time, without cause, by giving the other party </w:t>
      </w:r>
      <w:r>
        <w:rPr>
          <w:b/>
          <w:bCs/>
        </w:rPr>
        <w:t xml:space="preserve">30 calendar days</w:t>
      </w:r>
      <w:r>
        <w:t xml:space="preserve"> prior written notice.</w:t>
      </w:r>
    </w:p>
    <w:p>
      <w:pPr>
        <w:spacing w:after="180"/>
        <w:jc w:val="both"/>
      </w:pPr>
      <w:r>
        <w:rPr>
          <w:b/>
          <w:bCs/>
        </w:rPr>
        <w:t xml:space="preserve">Shortened notice.</w:t>
      </w:r>
      <w:r>
        <w:t xml:space="preserve"> After the initial 30-day notice period, the parties may move to </w:t>
      </w:r>
      <w:r>
        <w:rPr>
          <w:b/>
          <w:bCs/>
        </w:rPr>
        <w:t xml:space="preserve">14-day</w:t>
      </w:r>
      <w:r>
        <w:t xml:space="preserve"> notice for any further amendments or terminations within the scope of this agreement.</w:t>
      </w:r>
    </w:p>
    <w:p>
      <w:pPr>
        <w:pBdr>
          <w:left w:val="single" w:color="B8C2F5" w:sz="12" w:space="8"/>
        </w:pBdr>
        <w:spacing w:after="160" w:before="120"/>
        <w:ind w:left="400"/>
      </w:pPr>
      <w:r>
        <w:rPr>
          <w:i/>
          <w:iCs/>
          <w:color w:val="555555"/>
        </w:rPr>
        <w:t xml:space="preserve">**🔍 Negotiation note.** 30 days is reasonable for most engagements. For large deals (5+ developers), push for 60-90 days or add a wind-down fee (1 month of the last invoice). The shortened 14-day second notice reflects that once you've decided to part, dragging it out helps nobody.  **Client redline:** "We want 14 days from day one." Response: "14 days doesn't give us time to redeploy the team. 30 days is the industry standard and protects your knowledge transfer too."</w:t>
      </w:r>
    </w:p>
    <w:p>
      <w:pPr>
        <w:pStyle w:val="Heading2"/>
        <w:keepNext/>
        <w:spacing w:after="180" w:before="360"/>
      </w:pPr>
      <w:r>
        <w:t xml:space="preserve">7. Limitation of Liability and Indemnification</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Bdr>
          <w:left w:val="single" w:color="B8C2F5" w:sz="12" w:space="8"/>
        </w:pBdr>
        <w:spacing w:after="160" w:before="120"/>
        <w:ind w:left="400"/>
      </w:pPr>
      <w:r>
        <w:rPr>
          <w:i/>
          <w:iCs/>
          <w:color w:val="555555"/>
        </w:rPr>
        <w:t xml:space="preserve">**⚠️ This is the most negotiated clause in the contract.**  **Our position:** Mutual cap at 12 months of fees. Both sides limited equally.  **What clients want:** Uncapped carve-outs for data breaches, IP infringement, willful misconduct, and confidentiality breaches. Some clients want unlimited liability on the vendor side only.  **What to concede:** - Carve-outs for willful misconduct and fraud — these are   reasonable and standard. - GDPR fines exclusion — regulatory fines bypass liability caps   by law anyway, so agreeing to exclude them costs nothing.  **What to hold:** - The mutual nature — if liability is uncapped for us, it should   be uncapped for them too. - The 12-month floor — below that, a single incident can wipe   out all project revenue. - Indemnities should sit INSIDE the cap, not outside it.   If indemnities are outside the cap, the cap is meaningless.  **Trade-off:** If you accept broader carve-outs, negotiate a higher cap multiple (18 or 24 months instead of 12).</w:t>
      </w:r>
    </w:p>
    <w:p>
      <w:pPr>
        <w:pStyle w:val="Heading2"/>
        <w:keepNext/>
        <w:spacing w:after="180" w:before="360"/>
      </w:pPr>
      <w:r>
        <w:t xml:space="preserve">8. Effect of Termination</w:t>
      </w:r>
    </w:p>
    <w:p>
      <w:pPr>
        <w:spacing w:after="18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8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8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keepNext/>
        <w:spacing w:after="180" w:before="360"/>
      </w:pPr>
      <w:r>
        <w:t xml:space="preserve">Three separate obligations</w:t>
      </w:r>
    </w:p>
    <w:p>
      <w:pPr>
        <w:spacing w:after="180"/>
        <w:jc w:val="both"/>
      </w:pPr>
      <w:r>
        <w:t xml:space="preserve">This clause breaks into three independent duties:</w:t>
      </w:r>
    </w:p>
    <w:p>
      <w:pPr>
        <w:pStyle w:val="Heading3"/>
        <w:keepNext/>
        <w:spacing w:after="120" w:before="240"/>
      </w:pPr>
      <w:r>
        <w:t xml:space="preserve">1. Settlement (Payment Obligations)</w:t>
      </w:r>
    </w:p>
    <w:p>
      <w:pPr>
        <w:spacing w:after="18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80"/>
        <w:jc w:val="both"/>
      </w:pPr>
      <w:r>
        <w:t xml:space="preserve">termination, we must settle.</w:t>
      </w:r>
    </w:p>
    <w:p>
      <w:pPr>
        <w:pStyle w:val="ListParagraph"/>
        <w:numPr>
          <w:ilvl w:val="0"/>
          <w:numId w:val="1"/>
        </w:numPr>
        <w:spacing w:after="60"/>
      </w:pPr>
      <w:r>
        <w:rPr>
          <w:b/>
          <w:bCs/>
        </w:rPr>
        <w:t xml:space="preserve">Their debt</w:t>
      </w:r>
      <w:r>
        <w:t xml:space="preserve"> — if we pre-paid for work not yet done, they</w:t>
      </w:r>
    </w:p>
    <w:p>
      <w:pPr>
        <w:spacing w:after="180"/>
        <w:jc w:val="both"/>
      </w:pPr>
      <w:r>
        <w:t xml:space="preserve">refund (or we agree to credit against future projects).</w:t>
      </w:r>
    </w:p>
    <w:p>
      <w:pPr>
        <w:pStyle w:val="Heading3"/>
        <w:keepNext/>
        <w:spacing w:after="120" w:before="240"/>
      </w:pPr>
      <w:r>
        <w:t xml:space="preserve">2. Handover (Performer obligations)</w:t>
      </w:r>
    </w:p>
    <w:p>
      <w:pPr>
        <w:spacing w:after="18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80"/>
        <w:jc w:val="both"/>
      </w:pPr>
      <w:r>
        <w:t xml:space="preserve">to the principal</w:t>
      </w:r>
    </w:p>
    <w:p>
      <w:pPr>
        <w:spacing w:after="180"/>
        <w:jc w:val="both"/>
      </w:pPr>
      <w:r>
        <w:t xml:space="preserve">If the performer ignores this clause, we have legal grounds to demand performance and to withhold the final payment until handover is complete.</w:t>
      </w:r>
    </w:p>
    <w:p>
      <w:pPr>
        <w:pStyle w:val="Heading3"/>
        <w:keepNext/>
        <w:spacing w:after="120" w:before="240"/>
      </w:pPr>
      <w:r>
        <w:t xml:space="preserve">3. Survival</w:t>
      </w:r>
    </w:p>
    <w:p>
      <w:pPr>
        <w:spacing w:after="18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80"/>
        <w:jc w:val="both"/>
      </w:pPr>
      <w:r>
        <w:t xml:space="preserve">principal</w:t>
      </w:r>
    </w:p>
    <w:p>
      <w:pPr>
        <w:pStyle w:val="ListParagraph"/>
        <w:numPr>
          <w:ilvl w:val="0"/>
          <w:numId w:val="1"/>
        </w:numPr>
        <w:spacing w:after="60"/>
      </w:pPr>
      <w:r>
        <w:rPr>
          <w:b/>
          <w:bCs/>
        </w:rPr>
        <w:t xml:space="preserve">Confidentiality</w:t>
      </w:r>
      <w:r>
        <w:t xml:space="preserve"> — anything disclosed remains confidential</w:t>
      </w:r>
    </w:p>
    <w:p>
      <w:pPr>
        <w:spacing w:after="180"/>
        <w:jc w:val="both"/>
      </w:pPr>
      <w:r>
        <w:t xml:space="preserve">(per Mutual Confidentiality terms)</w:t>
      </w:r>
    </w:p>
    <w:p>
      <w:pPr>
        <w:pStyle w:val="ListParagraph"/>
        <w:numPr>
          <w:ilvl w:val="0"/>
          <w:numId w:val="1"/>
        </w:numPr>
        <w:spacing w:after="60"/>
      </w:pPr>
      <w:r>
        <w:rPr>
          <w:b/>
          <w:bCs/>
        </w:rPr>
        <w:t xml:space="preserve">Non-solicitation</w:t>
      </w:r>
      <w:r>
        <w:t xml:space="preserve"> — 1 year in subcontracts runs from Start</w:t>
      </w:r>
    </w:p>
    <w:p>
      <w:pPr>
        <w:spacing w:after="180"/>
        <w:jc w:val="both"/>
      </w:pPr>
      <w:r>
        <w:t xml:space="preserve">date, not from termination</w:t>
      </w:r>
    </w:p>
    <w:p>
      <w:pPr>
        <w:pStyle w:val="ListParagraph"/>
        <w:numPr>
          <w:ilvl w:val="0"/>
          <w:numId w:val="1"/>
        </w:numPr>
        <w:spacing w:after="60"/>
      </w:pPr>
      <w:r>
        <w:rPr>
          <w:b/>
          <w:bCs/>
        </w:rPr>
        <w:t xml:space="preserve">Non-compete</w:t>
      </w:r>
      <w:r>
        <w:t xml:space="preserve"> — same</w:t>
      </w:r>
    </w:p>
    <w:p>
      <w:pPr>
        <w:spacing w:after="180"/>
        <w:jc w:val="both"/>
      </w:pPr>
      <w:r>
        <w:t xml:space="preserve">Survival is the key mechanism that makes a clean termination possible: if you exit, you don't walk away with the IP, clients, confidential information, or the right to poach.</w:t>
      </w:r>
    </w:p>
    <w:p>
      <w:pPr>
        <w:pBdr>
          <w:left w:val="single" w:color="B8C2F5" w:sz="12" w:space="8"/>
        </w:pBdr>
        <w:spacing w:after="160" w:before="120"/>
        <w:ind w:left="400"/>
      </w:pPr>
      <w:r>
        <w:rPr>
          <w:i/>
          <w:iCs/>
          <w:color w:val="555555"/>
        </w:rPr>
        <w:t xml:space="preserve">**🔗 Interaction: Termination ↔ IP ↔ Payment.** This clause connects termination (§6), IP (§4), and payment (§2). On termination: (1) client pays for work done, (2) we deliver work-in-progress, (3) IP for paid work transfers. The three obligations are sequential — no delivery without payment, no IP transfer without delivery. Don't let anyone rearrange this sequence.</w:t>
      </w:r>
    </w:p>
    <w:p>
      <w:pPr>
        <w:pStyle w:val="Heading2"/>
        <w:keepNext/>
        <w:spacing w:after="180" w:before="360"/>
      </w:pPr>
      <w:r>
        <w:t xml:space="preserve">9.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Bdr>
          <w:left w:val="single" w:color="B8C2F5" w:sz="12" w:space="8"/>
        </w:pBdr>
        <w:spacing w:after="160" w:before="120"/>
        <w:ind w:left="400"/>
      </w:pPr>
      <w:r>
        <w:rPr>
          <w:i/>
          <w:iCs/>
          <w:color w:val="555555"/>
        </w:rPr>
        <w:t xml:space="preserve">**🔍 Negotiation note.** England &amp; Wales is a neutral forum — neither our home jurisdiction nor theirs. This is actually a selling point: we're not trying to force our courts on the client. The 60-day negotiation period before litigation is standard and saves both sides legal fees. Clients rarely push back here.  **If client insists on their jurisdiction:** Accept if it's a major EU jurisdiction with English-language commercial courts (Netherlands, Ireland). Push back on jurisdictions where we have no representation or where proceedings are in a language we don't speak.</w:t>
      </w:r>
    </w:p>
    <w:p>
      <w:pPr>
        <w:pStyle w:val="Heading2"/>
        <w:keepNext/>
        <w:spacing w:after="180" w:before="360"/>
      </w:pPr>
      <w:r>
        <w:t xml:space="preserve">10.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Acme Services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Customer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Registry code: HRB123456X / VAT ID: DE999888777</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 VAT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Jurisdiction: Germany</w:t>
            </w:r>
          </w:p>
        </w:tc>
        <w:tc>
          <w:tcPr>
            <w:tcW w:type="pct" w:w="50%"/>
            <w:tcMar>
              <w:top w:type="dxa" w:w="80"/>
              <w:left w:type="dxa" w:w="120"/>
              <w:bottom w:type="dxa" w:w="80"/>
              <w:right w:type="dxa" w:w="120"/>
            </w:tcMar>
          </w:tcPr>
          <w:p>
            <w:pPr>
              <w:spacing w:after="60" w:before="60"/>
            </w:pPr>
            <w:r>
              <w:rPr>
                <w:b w:val="false"/>
                <w:bCs w:val="false"/>
                <w:sz w:val="20"/>
                <w:szCs w:val="20"/>
              </w:rPr>
              <w:t xml:space="preserve">Jurisdiction: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Musterstraße 1, Berlin, 10115, Germany</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[Director Name],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Attachment A — Rate Sheet</w:t>
      </w:r>
    </w:p>
    <w:p>
      <w:pPr>
        <w:spacing w:after="180"/>
        <w:jc w:val="both"/>
      </w:pPr>
      <w:r>
        <w:t xml:space="preserve">To the Services Agreement dated ___________.</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Role</w:t>
            </w:r>
          </w:p>
        </w:tc>
        <w:tc>
          <w:tcPr>
            <w:tcW w:type="pct" w:w="50%"/>
            <w:shd w:fill="EEE9D4" w:val="clear"/>
            <w:tcMar>
              <w:top w:type="dxa" w:w="80"/>
              <w:left w:type="dxa" w:w="120"/>
              <w:bottom w:type="dxa" w:w="80"/>
              <w:right w:type="dxa" w:w="120"/>
            </w:tcMar>
          </w:tcPr>
          <w:p>
            <w:pPr>
              <w:spacing w:after="60" w:before="60"/>
            </w:pPr>
            <w:r>
              <w:rPr>
                <w:b/>
                <w:bCs/>
                <w:sz w:val="20"/>
                <w:szCs w:val="20"/>
              </w:rPr>
              <w:t xml:space="preserve">Hourly rate, EUR (€)</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Services Agreement — Acme Services GmbH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 Agreement — Acme Services GmbH</dc:title>
  <dc:creator>Drafters</dc:creator>
  <dc:description>Exported from Drafters — Services Agreement — Acme Services GmbH</dc:description>
  <cp:lastModifiedBy>Un-named</cp:lastModifiedBy>
  <cp:revision>1</cp:revision>
  <dcterms:created xsi:type="dcterms:W3CDTF">2026-04-16T09:11:34.383Z</dcterms:created>
  <dcterms:modified xsi:type="dcterms:W3CDTF">2026-04-16T09:11:34.383Z</dcterms:modified>
</cp:coreProperties>
</file>

<file path=docProps/custom.xml><?xml version="1.0" encoding="utf-8"?>
<Properties xmlns="http://schemas.openxmlformats.org/officeDocument/2006/custom-properties" xmlns:vt="http://schemas.openxmlformats.org/officeDocument/2006/docPropsVTypes"/>
</file>