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600"/>
        <w:jc w:val="center"/>
      </w:pPr>
      <w:r>
        <w:rPr>
          <w:rFonts w:ascii="Georgia" w:cs="Georgia" w:eastAsia="Georgia" w:hAnsi="Georgia"/>
          <w:b/>
          <w:bCs/>
          <w:sz w:val="48"/>
          <w:szCs w:val="48"/>
        </w:rPr>
        <w:t xml:space="preserve">Договір субпідряду — Marketing</w:t>
      </w:r>
    </w:p>
    <w:p>
      <w:pPr>
        <w:spacing w:after="120"/>
        <w:jc w:val="center"/>
      </w:pPr>
      <w:r>
        <w:rPr>
          <w:rFonts w:ascii="Georgia" w:cs="Georgia" w:eastAsia="Georgia" w:hAnsi="Georgia"/>
          <w:color w:val="8A8578"/>
          <w:sz w:val="18"/>
          <w:szCs w:val="18"/>
        </w:rPr>
        <w:t xml:space="preserve">Drafters</w:t>
      </w:r>
    </w:p>
    <w:p>
      <w:r>
        <w:r>
          <w:br w:type="page"/>
        </w:r>
      </w:r>
    </w:p>
    <w:p>
      <w:pPr>
        <w:pStyle w:val="Heading1"/>
        <w:keepNext/>
        <w:spacing w:after="180" w:before="360"/>
      </w:pPr>
      <w:r>
        <w:t xml:space="preserve">Subcontractor Agreement № ___________</w:t>
      </w:r>
    </w:p>
    <w:p>
      <w:pPr>
        <w:spacing w:after="180"/>
        <w:jc w:val="both"/>
      </w:pPr>
      <w:r>
        <w:rPr>
          <w:b/>
          <w:bCs/>
        </w:rPr>
        <w:t xml:space="preserve">Start date:</w:t>
      </w:r>
      <w:r>
        <w:t xml:space="preserve"> ___________</w:t>
      </w:r>
    </w:p>
    <w:p>
      <w:pPr>
        <w:spacing w:after="180"/>
        <w:jc w:val="both"/>
      </w:pPr>
      <w:r>
        <w:rPr>
          <w:b/>
          <w:bCs/>
        </w:rPr>
        <w:t xml:space="preserve">Contractor:</w:t>
      </w:r>
      <w:r>
        <w:t xml:space="preserve"> </w:t>
      </w:r>
      <w:r>
        <w:rPr>
          <w:b/>
          <w:bCs/>
        </w:rPr>
        <w:t xml:space="preserve">Acme Services GmbH</w:t>
      </w:r>
      <w:r>
        <w:t xml:space="preserve">, a company incorporated under the laws of the Federal Republic of Germany, Registry code </w:t>
      </w:r>
      <w:r>
        <w:rPr>
          <w:b/>
          <w:bCs/>
        </w:rPr>
        <w:t xml:space="preserve">HRB123456X</w:t>
      </w:r>
      <w:r>
        <w:t xml:space="preserve">, VAT ID </w:t>
      </w:r>
      <w:r>
        <w:rPr>
          <w:b/>
          <w:bCs/>
        </w:rPr>
        <w:t xml:space="preserve">DE999888777</w:t>
      </w:r>
      <w:r>
        <w:t xml:space="preserve">, with its registered address at Musterstraße 1, Berlin, 10115, Germany, represented by its Director Jana Weber (hereinafter the "</w:t>
      </w:r>
      <w:r>
        <w:rPr>
          <w:b/>
          <w:bCs/>
        </w:rPr>
        <w:t xml:space="preserve">Contractor</w:t>
      </w:r>
      <w:r>
        <w:t xml:space="preserve">").</w:t>
      </w:r>
    </w:p>
    <w:p>
      <w:pPr>
        <w:spacing w:after="180"/>
        <w:jc w:val="both"/>
      </w:pPr>
      <w:r>
        <w:rPr>
          <w:b/>
          <w:bCs/>
        </w:rPr>
        <w:t xml:space="preserve">Subcontractor:</w:t>
      </w:r>
      <w:r>
        <w:t xml:space="preserve"> </w:t>
      </w:r>
      <w:r>
        <w:rPr>
          <w:b/>
          <w:bCs/>
        </w:rPr>
        <w:t xml:space="preserve">Private entrepreneur</w:t>
      </w:r>
      <w:r>
        <w:t xml:space="preserve"> ___________.</w:t>
      </w:r>
    </w:p>
    <w:p>
      <w:pPr>
        <w:pStyle w:val="Heading2"/>
        <w:keepNext/>
        <w:spacing w:after="180" w:before="360"/>
      </w:pPr>
      <w:r>
        <w:t xml:space="preserve">1. Key Terms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Parameter</w:t>
            </w:r>
          </w:p>
        </w:tc>
        <w:tc>
          <w:tcPr>
            <w:tcW w:type="pct" w:w="50%"/>
            <w:shd w:fill="EEE9D4" w:val="clear"/>
            <w:tcMar>
              <w:top w:type="dxa" w:w="80"/>
              <w:left w:type="dxa" w:w="120"/>
              <w:bottom w:type="dxa" w:w="80"/>
              <w:right w:type="dxa" w:w="120"/>
            </w:tcMar>
          </w:tcPr>
          <w:p>
            <w:pPr>
              <w:spacing w:after="60" w:before="60"/>
            </w:pPr>
            <w:r>
              <w:rPr>
                <w:b/>
                <w:bCs/>
                <w:sz w:val="20"/>
                <w:szCs w:val="20"/>
              </w:rPr>
              <w:t xml:space="preserve">Value</w:t>
            </w:r>
          </w:p>
        </w:tc>
      </w:tr>
      <w:tr>
        <w:tc>
          <w:tcPr>
            <w:tcW w:type="pct" w:w="50%"/>
            <w:tcMar>
              <w:top w:type="dxa" w:w="80"/>
              <w:left w:type="dxa" w:w="120"/>
              <w:bottom w:type="dxa" w:w="80"/>
              <w:right w:type="dxa" w:w="120"/>
            </w:tcMar>
          </w:tcPr>
          <w:p>
            <w:pPr>
              <w:spacing w:after="60" w:before="60"/>
            </w:pPr>
            <w:r>
              <w:rPr>
                <w:b/>
                <w:bCs/>
                <w:sz w:val="20"/>
                <w:szCs w:val="20"/>
              </w:rPr>
              <w:t xml:space="preserve">Subcontractor Services</w:t>
            </w:r>
          </w:p>
        </w:tc>
        <w:tc>
          <w:tcPr>
            <w:tcW w:type="pct" w:w="50%"/>
            <w:tcMar>
              <w:top w:type="dxa" w:w="80"/>
              <w:left w:type="dxa" w:w="120"/>
              <w:bottom w:type="dxa" w:w="80"/>
              <w:right w:type="dxa" w:w="120"/>
            </w:tcMar>
          </w:tcPr>
          <w:p>
            <w:pPr>
              <w:spacing w:after="60" w:before="60"/>
            </w:pPr>
            <w:r>
              <w:rPr>
                <w:b w:val="false"/>
                <w:bCs w:val="false"/>
                <w:sz w:val="20"/>
                <w:szCs w:val="20"/>
              </w:rPr>
              <w:t xml:space="preserve">Provision of marketing and related advisory services, including but not limited to digital marketing, strategic marketing planning, campaign management, performance marketing (hereinafter the "</w:t>
            </w:r>
            <w:r>
              <w:rPr>
                <w:b/>
                <w:bCs/>
                <w:sz w:val="20"/>
                <w:szCs w:val="20"/>
              </w:rPr>
              <w:t xml:space="preserve">Services</w:t>
            </w:r>
            <w:r>
              <w:rPr>
                <w:b w:val="false"/>
                <w:bCs w:val="false"/>
                <w:sz w:val="20"/>
                <w:szCs w:val="20"/>
              </w:rPr>
              <w:t xml:space="preserve">")</w:t>
            </w:r>
          </w:p>
        </w:tc>
      </w:tr>
      <w:tr>
        <w:tc>
          <w:tcPr>
            <w:tcW w:type="pct" w:w="50%"/>
            <w:tcMar>
              <w:top w:type="dxa" w:w="80"/>
              <w:left w:type="dxa" w:w="120"/>
              <w:bottom w:type="dxa" w:w="80"/>
              <w:right w:type="dxa" w:w="120"/>
            </w:tcMar>
          </w:tcPr>
          <w:p>
            <w:pPr>
              <w:spacing w:after="60" w:before="60"/>
            </w:pPr>
            <w:r>
              <w:rPr>
                <w:b/>
                <w:bCs/>
                <w:sz w:val="20"/>
                <w:szCs w:val="20"/>
              </w:rPr>
              <w:t xml:space="preserve">Payments for Services</w:t>
            </w:r>
          </w:p>
        </w:tc>
        <w:tc>
          <w:tcPr>
            <w:tcW w:type="pct" w:w="50%"/>
            <w:tcMar>
              <w:top w:type="dxa" w:w="80"/>
              <w:left w:type="dxa" w:w="120"/>
              <w:bottom w:type="dxa" w:w="80"/>
              <w:right w:type="dxa" w:w="120"/>
            </w:tcMar>
          </w:tcPr>
          <w:p>
            <w:pPr>
              <w:spacing w:after="60" w:before="60"/>
            </w:pPr>
            <w:r>
              <w:rPr>
                <w:b w:val="false"/>
                <w:bCs w:val="false"/>
                <w:sz w:val="20"/>
                <w:szCs w:val="20"/>
              </w:rPr>
              <w:t xml:space="preserve">Post-payment according to the time-sheet submitted by the Subcontractor.</w:t>
            </w:r>
          </w:p>
        </w:tc>
      </w:tr>
      <w:tr>
        <w:tc>
          <w:tcPr>
            <w:tcW w:type="pct" w:w="50%"/>
            <w:tcMar>
              <w:top w:type="dxa" w:w="80"/>
              <w:left w:type="dxa" w:w="120"/>
              <w:bottom w:type="dxa" w:w="80"/>
              <w:right w:type="dxa" w:w="120"/>
            </w:tcMar>
          </w:tcPr>
          <w:p>
            <w:pPr>
              <w:spacing w:after="60" w:before="60"/>
            </w:pPr>
            <w:r>
              <w:rPr>
                <w:b/>
                <w:bCs/>
                <w:sz w:val="20"/>
                <w:szCs w:val="20"/>
              </w:rPr>
              <w:t xml:space="preserve">Invoicing</w:t>
            </w:r>
          </w:p>
        </w:tc>
        <w:tc>
          <w:tcPr>
            <w:tcW w:type="pct" w:w="50%"/>
            <w:tcMar>
              <w:top w:type="dxa" w:w="80"/>
              <w:left w:type="dxa" w:w="120"/>
              <w:bottom w:type="dxa" w:w="80"/>
              <w:right w:type="dxa" w:w="120"/>
            </w:tcMar>
          </w:tcPr>
          <w:p>
            <w:pPr>
              <w:spacing w:after="60" w:before="60"/>
            </w:pPr>
            <w:r>
              <w:rPr>
                <w:b w:val="false"/>
                <w:bCs w:val="false"/>
                <w:sz w:val="20"/>
                <w:szCs w:val="20"/>
              </w:rPr>
              <w:t xml:space="preserve">Every month. The Contractor must pay within </w:t>
            </w:r>
            <w:r>
              <w:rPr>
                <w:b/>
                <w:bCs/>
                <w:sz w:val="20"/>
                <w:szCs w:val="20"/>
              </w:rPr>
              <w:t xml:space="preserve">21 calendar days</w:t>
            </w:r>
            <w:r>
              <w:rPr>
                <w:b w:val="false"/>
                <w:bCs w:val="false"/>
                <w:sz w:val="20"/>
                <w:szCs w:val="20"/>
              </w:rPr>
              <w:t xml:space="preserve"> from the invoice date.</w:t>
            </w:r>
          </w:p>
        </w:tc>
      </w:tr>
      <w:tr>
        <w:tc>
          <w:tcPr>
            <w:tcW w:type="pct" w:w="50%"/>
            <w:tcMar>
              <w:top w:type="dxa" w:w="80"/>
              <w:left w:type="dxa" w:w="120"/>
              <w:bottom w:type="dxa" w:w="80"/>
              <w:right w:type="dxa" w:w="120"/>
            </w:tcMar>
          </w:tcPr>
          <w:p>
            <w:pPr>
              <w:spacing w:after="60" w:before="60"/>
            </w:pPr>
            <w:r>
              <w:rPr>
                <w:b/>
                <w:bCs/>
                <w:sz w:val="20"/>
                <w:szCs w:val="20"/>
              </w:rPr>
              <w:t xml:space="preserve">Payment transfers</w:t>
            </w:r>
          </w:p>
        </w:tc>
        <w:tc>
          <w:tcPr>
            <w:tcW w:type="pct" w:w="50%"/>
            <w:tcMar>
              <w:top w:type="dxa" w:w="80"/>
              <w:left w:type="dxa" w:w="120"/>
              <w:bottom w:type="dxa" w:w="80"/>
              <w:right w:type="dxa" w:w="120"/>
            </w:tcMar>
          </w:tcPr>
          <w:p>
            <w:pPr>
              <w:spacing w:after="60" w:before="60"/>
            </w:pPr>
            <w:r>
              <w:rPr>
                <w:b w:val="false"/>
                <w:bCs w:val="false"/>
                <w:sz w:val="20"/>
                <w:szCs w:val="20"/>
              </w:rPr>
              <w:t xml:space="preserve">To the banking account specified in the invoice. Each party covers their own bank charges.</w:t>
            </w:r>
          </w:p>
        </w:tc>
      </w:tr>
      <w:tr>
        <w:tc>
          <w:tcPr>
            <w:tcW w:type="pct" w:w="50%"/>
            <w:tcMar>
              <w:top w:type="dxa" w:w="80"/>
              <w:left w:type="dxa" w:w="120"/>
              <w:bottom w:type="dxa" w:w="80"/>
              <w:right w:type="dxa" w:w="120"/>
            </w:tcMar>
          </w:tcPr>
          <w:p>
            <w:pPr>
              <w:spacing w:after="60" w:before="60"/>
            </w:pPr>
            <w:r>
              <w:rPr>
                <w:b/>
                <w:bCs/>
                <w:sz w:val="20"/>
                <w:szCs w:val="20"/>
              </w:rPr>
              <w:t xml:space="preserve">Overtime</w:t>
            </w:r>
          </w:p>
        </w:tc>
        <w:tc>
          <w:tcPr>
            <w:tcW w:type="pct" w:w="50%"/>
            <w:tcMar>
              <w:top w:type="dxa" w:w="80"/>
              <w:left w:type="dxa" w:w="120"/>
              <w:bottom w:type="dxa" w:w="80"/>
              <w:right w:type="dxa" w:w="120"/>
            </w:tcMar>
          </w:tcPr>
          <w:p>
            <w:pPr>
              <w:spacing w:after="60" w:before="60"/>
            </w:pPr>
            <w:r>
              <w:rPr>
                <w:b w:val="false"/>
                <w:bCs w:val="false"/>
                <w:sz w:val="20"/>
                <w:szCs w:val="20"/>
              </w:rPr>
              <w:t xml:space="preserve">Only with the Contractor's written approval.</w:t>
            </w:r>
          </w:p>
        </w:tc>
      </w:tr>
      <w:tr>
        <w:tc>
          <w:tcPr>
            <w:tcW w:type="pct" w:w="50%"/>
            <w:tcMar>
              <w:top w:type="dxa" w:w="80"/>
              <w:left w:type="dxa" w:w="120"/>
              <w:bottom w:type="dxa" w:w="80"/>
              <w:right w:type="dxa" w:w="120"/>
            </w:tcMar>
          </w:tcPr>
          <w:p>
            <w:pPr>
              <w:spacing w:after="60" w:before="60"/>
            </w:pPr>
            <w:r>
              <w:rPr>
                <w:b/>
                <w:bCs/>
                <w:sz w:val="20"/>
                <w:szCs w:val="20"/>
              </w:rPr>
              <w:t xml:space="preserve">Rate increase</w:t>
            </w:r>
          </w:p>
        </w:tc>
        <w:tc>
          <w:tcPr>
            <w:tcW w:type="pct" w:w="50%"/>
            <w:tcMar>
              <w:top w:type="dxa" w:w="80"/>
              <w:left w:type="dxa" w:w="120"/>
              <w:bottom w:type="dxa" w:w="80"/>
              <w:right w:type="dxa" w:w="120"/>
            </w:tcMar>
          </w:tcPr>
          <w:p>
            <w:pPr>
              <w:spacing w:after="60" w:before="60"/>
            </w:pPr>
            <w:r>
              <w:rPr>
                <w:b w:val="false"/>
                <w:bCs w:val="false"/>
                <w:sz w:val="20"/>
                <w:szCs w:val="20"/>
              </w:rPr>
              <w:t xml:space="preserve">No more than once every 12 months. Not more than </w:t>
            </w:r>
            <w:r>
              <w:rPr>
                <w:b/>
                <w:bCs/>
                <w:sz w:val="20"/>
                <w:szCs w:val="20"/>
              </w:rPr>
              <w:t xml:space="preserve">10%</w:t>
            </w:r>
            <w:r>
              <w:rPr>
                <w:b w:val="false"/>
                <w:bCs w:val="false"/>
                <w:sz w:val="20"/>
                <w:szCs w:val="20"/>
              </w:rPr>
              <w:t xml:space="preserve"> annually.</w:t>
            </w:r>
          </w:p>
        </w:tc>
      </w:tr>
    </w:tbl>
    <w:p>
      <w:pPr>
        <w:spacing w:after="160" w:before="0"/>
      </w:pPr>
      <w:r>
        <w:t xml:space="preserve"/>
      </w:r>
    </w:p>
    <w:p>
      <w:pPr>
        <w:pStyle w:val="Heading2"/>
        <w:keepNext/>
        <w:spacing w:after="180" w:before="360"/>
      </w:pPr>
      <w:r>
        <w:t xml:space="preserve">2. Payments for Services</w:t>
      </w:r>
    </w:p>
    <w:p>
      <w:pPr>
        <w:spacing w:after="180"/>
        <w:jc w:val="both"/>
      </w:pPr>
      <w:r>
        <w:rPr>
          <w:b/>
          <w:bCs/>
        </w:rPr>
        <w:t xml:space="preserve">Payment Dispute.</w:t>
      </w:r>
      <w:r>
        <w:t xml:space="preserve"> If any amount claimed as payable is disputed in good faith, the Contractor shall pay the undisputed portion and give a </w:t>
      </w:r>
      <w:r>
        <w:rPr>
          <w:b/>
          <w:bCs/>
        </w:rPr>
        <w:t xml:space="preserve">5 business days</w:t>
      </w:r>
      <w:r>
        <w:t xml:space="preserve"> notice specifying the basis of the dispute in reasonable detail.</w:t>
      </w:r>
    </w:p>
    <w:p>
      <w:pPr>
        <w:spacing w:after="180"/>
        <w:jc w:val="both"/>
      </w:pPr>
      <w:r>
        <w:t xml:space="preserve">Payments that are undisputed by the Contractor within 5 business days of receipt are considered accepted.</w:t>
      </w:r>
    </w:p>
    <w:p>
      <w:pPr>
        <w:pStyle w:val="Heading2"/>
        <w:keepNext/>
        <w:spacing w:after="180" w:before="360"/>
      </w:pPr>
      <w:r>
        <w:t xml:space="preserve">3. Non-solicitation</w:t>
      </w:r>
    </w:p>
    <w:p>
      <w:pPr>
        <w:spacing w:after="180"/>
        <w:jc w:val="both"/>
      </w:pPr>
      <w:r>
        <w:rPr>
          <w:b/>
          <w:bCs/>
        </w:rPr>
        <w:t xml:space="preserve">Non-solicitation period.</w:t>
      </w:r>
      <w:r>
        <w:t xml:space="preserve"> During the term of this agreement and for </w:t>
      </w:r>
      <w:r>
        <w:rPr>
          <w:b/>
          <w:bCs/>
        </w:rPr>
        <w:t xml:space="preserve">1 year after its termination</w:t>
      </w:r>
      <w:r>
        <w:t xml:space="preserve">, neither party shall solicit, hire or encourage the departure of any person who is an employee, contractor or subcontractor of the other party.</w:t>
      </w:r>
    </w:p>
    <w:p>
      <w:pPr>
        <w:spacing w:after="180"/>
        <w:jc w:val="both"/>
      </w:pPr>
      <w:r>
        <w:rPr>
          <w:b/>
          <w:bCs/>
        </w:rPr>
        <w:t xml:space="preserve">Inbound job requests.</w:t>
      </w:r>
      <w:r>
        <w:t xml:space="preserve"> If any such person </w:t>
      </w:r>
      <w:r>
        <w:rPr>
          <w:b/>
          <w:bCs/>
        </w:rPr>
        <w:t xml:space="preserve">independently</w:t>
      </w:r>
      <w:r>
        <w:t xml:space="preserve"> approaches the other party about employment, that party shall immediately suspend the request and notify the first party.</w:t>
      </w:r>
    </w:p>
    <w:p>
      <w:pPr>
        <w:pStyle w:val="Heading2"/>
        <w:keepNext/>
        <w:spacing w:after="180" w:before="360"/>
      </w:pPr>
      <w:r>
        <w:t xml:space="preserve">4. Non-compete</w:t>
      </w:r>
    </w:p>
    <w:p>
      <w:pPr>
        <w:spacing w:after="180"/>
        <w:jc w:val="both"/>
      </w:pPr>
      <w:r>
        <w:t xml:space="preserve">During the term of this agreement and for </w:t>
      </w:r>
      <w:r>
        <w:rPr>
          <w:b/>
          <w:bCs/>
        </w:rPr>
        <w:t xml:space="preserve">1 year after its termination</w:t>
      </w:r>
      <w:r>
        <w:t xml:space="preserve">, the Subcontractor may not engage in any business activity with persons who were clients of the Contractor and whose existence the Subcontractor became aware of while performing this agreement.</w:t>
      </w:r>
    </w:p>
    <w:p>
      <w:pPr>
        <w:pStyle w:val="Heading2"/>
        <w:keepNext/>
        <w:spacing w:after="180" w:before="360"/>
      </w:pPr>
      <w:r>
        <w:t xml:space="preserve">5. Deliverables and Intellectual Property</w:t>
      </w:r>
    </w:p>
    <w:p>
      <w:pPr>
        <w:spacing w:after="180"/>
        <w:jc w:val="both"/>
      </w:pPr>
      <w:r>
        <w:rPr>
          <w:b/>
          <w:bCs/>
        </w:rPr>
        <w:t xml:space="preserve">Final Works.</w:t>
      </w:r>
      <w:r>
        <w:t xml:space="preserve"> The Subcontractor transfers to the Contractor </w:t>
      </w:r>
      <w:r>
        <w:rPr>
          <w:b/>
          <w:bCs/>
        </w:rPr>
        <w:t xml:space="preserve">all intellectual property rights</w:t>
      </w:r>
      <w:r>
        <w:t xml:space="preserve"> in all materials, documentation, and outputs provided to the Contractor through the performance of Services (Deliverables) — </w:t>
      </w:r>
      <w:r>
        <w:rPr>
          <w:b/>
          <w:bCs/>
        </w:rPr>
        <w:t xml:space="preserve">exclusively after full payment</w:t>
      </w:r>
      <w:r>
        <w:t xml:space="preserve"> of all fees and costs.</w:t>
      </w:r>
    </w:p>
    <w:p>
      <w:pPr>
        <w:spacing w:after="180"/>
        <w:jc w:val="both"/>
      </w:pPr>
      <w:r>
        <w:rPr>
          <w:b/>
          <w:bCs/>
        </w:rPr>
        <w:t xml:space="preserve">Open-source code.</w:t>
      </w:r>
      <w:r>
        <w:t xml:space="preserve"> The Subcontractor warrants that it has not included or used, and will not include or use, any Open-Source Software in the Deliverables without the written consent of the Contractor.</w:t>
      </w:r>
    </w:p>
    <w:p>
      <w:pPr>
        <w:pStyle w:val="Heading2"/>
        <w:keepNext/>
        <w:spacing w:after="180" w:before="360"/>
      </w:pPr>
      <w:r>
        <w:t xml:space="preserve">6. Publicity</w:t>
      </w:r>
    </w:p>
    <w:p>
      <w:pPr>
        <w:spacing w:after="180"/>
        <w:jc w:val="both"/>
      </w:pPr>
      <w:r>
        <w:t xml:space="preserve">The Subcontractor may mention the fact of Services provided to the Contractor on its own website solely for marketing purposes.</w:t>
      </w:r>
    </w:p>
    <w:p>
      <w:pPr>
        <w:pStyle w:val="Heading2"/>
        <w:keepNext/>
        <w:spacing w:after="180" w:before="360"/>
      </w:pPr>
      <w:r>
        <w:t xml:space="preserve">7. Term and Termination</w:t>
      </w:r>
    </w:p>
    <w:p>
      <w:pPr>
        <w:spacing w:after="180"/>
        <w:jc w:val="both"/>
      </w:pPr>
      <w:r>
        <w:rPr>
          <w:b/>
          <w:bCs/>
        </w:rPr>
        <w:t xml:space="preserve">Term.</w:t>
      </w:r>
      <w:r>
        <w:t xml:space="preserve"> This agreement takes effect on the Start date and continues until terminated by either party in accordance with the terms below.</w:t>
      </w:r>
    </w:p>
    <w:p>
      <w:pPr>
        <w:spacing w:after="180"/>
        <w:jc w:val="both"/>
      </w:pPr>
      <w:r>
        <w:rPr>
          <w:b/>
          <w:bCs/>
        </w:rPr>
        <w:t xml:space="preserve">Termination by Contractor (first 3 months).</w:t>
      </w:r>
      <w:r>
        <w:t xml:space="preserve"> During the first </w:t>
      </w:r>
      <w:r>
        <w:rPr>
          <w:b/>
          <w:bCs/>
        </w:rPr>
        <w:t xml:space="preserve">three (3) months</w:t>
      </w:r>
      <w:r>
        <w:t xml:space="preserve"> from the Start date, the Contractor may terminate this agreement at any time by giving the Subcontractor </w:t>
      </w:r>
      <w:r>
        <w:rPr>
          <w:b/>
          <w:bCs/>
        </w:rPr>
        <w:t xml:space="preserve">1 day</w:t>
      </w:r>
      <w:r>
        <w:t xml:space="preserve"> prior written notice.</w:t>
      </w:r>
    </w:p>
    <w:p>
      <w:pPr>
        <w:spacing w:after="180"/>
        <w:jc w:val="both"/>
      </w:pPr>
      <w:r>
        <w:rPr>
          <w:b/>
          <w:bCs/>
        </w:rPr>
        <w:t xml:space="preserve">Termination by Contractor (after 3 months).</w:t>
      </w:r>
      <w:r>
        <w:t xml:space="preserve"> After the initial three-month period, the Contractor may terminate this agreement at any time by giving the Subcontractor </w:t>
      </w:r>
      <w:r>
        <w:rPr>
          <w:b/>
          <w:bCs/>
        </w:rPr>
        <w:t xml:space="preserve">14 days</w:t>
      </w:r>
      <w:r>
        <w:t xml:space="preserve"> prior written notice.</w:t>
      </w:r>
    </w:p>
    <w:p>
      <w:pPr>
        <w:spacing w:after="180"/>
        <w:jc w:val="both"/>
      </w:pPr>
      <w:r>
        <w:rPr>
          <w:b/>
          <w:bCs/>
        </w:rPr>
        <w:t xml:space="preserve">Termination by Subcontractor.</w:t>
      </w:r>
      <w:r>
        <w:t xml:space="preserve"> The Subcontractor may terminate this agreement at any time by giving the Contractor </w:t>
      </w:r>
      <w:r>
        <w:rPr>
          <w:b/>
          <w:bCs/>
        </w:rPr>
        <w:t xml:space="preserve">14 days</w:t>
      </w:r>
      <w:r>
        <w:t xml:space="preserve"> prior written notice, regardless of the duration of the agreement.</w:t>
      </w:r>
    </w:p>
    <w:p>
      <w:pPr>
        <w:pStyle w:val="Heading2"/>
        <w:keepNext/>
        <w:spacing w:after="180" w:before="360"/>
      </w:pPr>
      <w:r>
        <w:t xml:space="preserve">8. Limitation of Liability and Indemnification</w:t>
      </w:r>
    </w:p>
    <w:p>
      <w:pPr>
        <w:spacing w:after="180"/>
        <w:jc w:val="both"/>
      </w:pPr>
      <w:r>
        <w:rPr>
          <w:b/>
          <w:bCs/>
        </w:rPr>
        <w:t xml:space="preserve">Mutual Indemnification.</w:t>
      </w:r>
      <w:r>
        <w:t xml:space="preserve"> Each party (as an indemnifying party) shall indemnify the other (as an indemnified party) against all losses arising out of:</w:t>
      </w:r>
    </w:p>
    <w:p>
      <w:pPr>
        <w:pStyle w:val="ListParagraph"/>
        <w:numPr>
          <w:ilvl w:val="0"/>
          <w:numId w:val="1"/>
        </w:numPr>
        <w:spacing w:after="60"/>
      </w:pPr>
      <w:r>
        <w:t xml:space="preserve">any proceeding brought by either a third party or an</w:t>
      </w:r>
    </w:p>
    <w:p>
      <w:pPr>
        <w:spacing w:after="180"/>
        <w:jc w:val="both"/>
      </w:pPr>
      <w:r>
        <w:t xml:space="preserve">indemnified party; and</w:t>
      </w:r>
    </w:p>
    <w:p>
      <w:pPr>
        <w:pStyle w:val="ListParagraph"/>
        <w:numPr>
          <w:ilvl w:val="0"/>
          <w:numId w:val="1"/>
        </w:numPr>
        <w:spacing w:after="60"/>
      </w:pPr>
      <w:r>
        <w:t xml:space="preserve">the indemnifying party's wilful misconduct or gross</w:t>
      </w:r>
    </w:p>
    <w:p>
      <w:pPr>
        <w:spacing w:after="180"/>
        <w:jc w:val="both"/>
      </w:pPr>
      <w:r>
        <w:t xml:space="preserve">negligence.</w:t>
      </w:r>
    </w:p>
    <w:p>
      <w:pPr>
        <w:spacing w:after="180"/>
        <w:jc w:val="both"/>
      </w:pPr>
      <w:r>
        <w:rPr>
          <w:b/>
          <w:bCs/>
        </w:rPr>
        <w:t xml:space="preserve">Mutual Limit on Liability.</w:t>
      </w:r>
      <w:r>
        <w:t xml:space="preserve"> Neither party shall be liable for breach-of-contract damages suffered by the other party that are remote or that could not have reasonably been foreseen on entry into this agreement.</w:t>
      </w:r>
    </w:p>
    <w:p>
      <w:pPr>
        <w:spacing w:after="180"/>
        <w:jc w:val="both"/>
      </w:pPr>
      <w:r>
        <w:rPr>
          <w:b/>
          <w:bCs/>
        </w:rPr>
        <w:t xml:space="preserve">Maximum Liability.</w:t>
      </w:r>
      <w:r>
        <w:t xml:space="preserve"> The Subcontractor's (or Contractor's in a client agreement) liability under this agreement shall not exceed the fees paid under this agreement during the </w:t>
      </w:r>
      <w:r>
        <w:rPr>
          <w:b/>
          <w:bCs/>
        </w:rPr>
        <w:t xml:space="preserve">12 months</w:t>
      </w:r>
      <w:r>
        <w:t xml:space="preserve"> preceding the date upon which the related claim arose.</w:t>
      </w:r>
    </w:p>
    <w:p>
      <w:pPr>
        <w:pStyle w:val="Heading2"/>
        <w:keepNext/>
        <w:spacing w:after="180" w:before="360"/>
      </w:pPr>
      <w:r>
        <w:t xml:space="preserve">9. Effect of Termination</w:t>
      </w:r>
    </w:p>
    <w:p>
      <w:pPr>
        <w:spacing w:after="180"/>
        <w:jc w:val="both"/>
      </w:pPr>
      <w:r>
        <w:rPr>
          <w:b/>
          <w:bCs/>
        </w:rPr>
        <w:t xml:space="preserve">Payment Obligations.</w:t>
      </w:r>
      <w:r>
        <w:t xml:space="preserve"> Upon the expiration or termination of this agreement, each party shall pay any amounts it owes to the other party, including payment obligations for Services already rendered, or refund any payments received but not yet earned, including payments for Services not rendered.</w:t>
      </w:r>
    </w:p>
    <w:p>
      <w:pPr>
        <w:spacing w:after="180"/>
        <w:jc w:val="both"/>
      </w:pPr>
      <w:r>
        <w:rPr>
          <w:b/>
          <w:bCs/>
        </w:rPr>
        <w:t xml:space="preserve">Performer Obligations.</w:t>
      </w:r>
      <w:r>
        <w:t xml:space="preserve"> Upon receipt of notice of such termination, the Subcontractor (Subcontractor or Contractor, depending on the agreement type) shall promptly terminate all Services in progress, inform the principal of the extent to which performance has been completed, and deliver to the principal whatever Deliverables produced in the performance of the Services.</w:t>
      </w:r>
    </w:p>
    <w:p>
      <w:pPr>
        <w:spacing w:after="180"/>
        <w:jc w:val="both"/>
      </w:pPr>
      <w:r>
        <w:rPr>
          <w:b/>
          <w:bCs/>
        </w:rPr>
        <w:t xml:space="preserve">Survival.</w:t>
      </w:r>
      <w:r>
        <w:t xml:space="preserve"> Upon the termination of this agreement, the obligations of the Parties regarding </w:t>
      </w:r>
      <w:r>
        <w:rPr>
          <w:b/>
          <w:bCs/>
        </w:rPr>
        <w:t xml:space="preserve">intellectual property, confidentiality, non-solicitation and non-compete</w:t>
      </w:r>
      <w:r>
        <w:t xml:space="preserve"> shall survive.</w:t>
      </w:r>
    </w:p>
    <w:p>
      <w:pPr>
        <w:pStyle w:val="Heading2"/>
        <w:keepNext/>
        <w:spacing w:after="180" w:before="360"/>
      </w:pPr>
      <w:r>
        <w:t xml:space="preserve">Three separate obligations</w:t>
      </w:r>
    </w:p>
    <w:p>
      <w:pPr>
        <w:spacing w:after="180"/>
        <w:jc w:val="both"/>
      </w:pPr>
      <w:r>
        <w:t xml:space="preserve">This clause breaks into three independent duties:</w:t>
      </w:r>
    </w:p>
    <w:p>
      <w:pPr>
        <w:pStyle w:val="Heading3"/>
        <w:keepNext/>
        <w:spacing w:after="120" w:before="240"/>
      </w:pPr>
      <w:r>
        <w:t xml:space="preserve">1. Settlement (Payment Obligations)</w:t>
      </w:r>
    </w:p>
    <w:p>
      <w:pPr>
        <w:spacing w:after="180"/>
        <w:jc w:val="both"/>
      </w:pPr>
      <w:r>
        <w:t xml:space="preserve">"Who owes, pays. Who got too much, refunds." A symmetric rule that works in both directions:</w:t>
      </w:r>
    </w:p>
    <w:p>
      <w:pPr>
        <w:pStyle w:val="ListParagraph"/>
        <w:numPr>
          <w:ilvl w:val="0"/>
          <w:numId w:val="1"/>
        </w:numPr>
        <w:spacing w:after="60"/>
      </w:pPr>
      <w:r>
        <w:rPr>
          <w:b/>
          <w:bCs/>
        </w:rPr>
        <w:t xml:space="preserve">Our debt</w:t>
      </w:r>
      <w:r>
        <w:t xml:space="preserve"> — if we haven't paid for work done before</w:t>
      </w:r>
    </w:p>
    <w:p>
      <w:pPr>
        <w:spacing w:after="180"/>
        <w:jc w:val="both"/>
      </w:pPr>
      <w:r>
        <w:t xml:space="preserve">termination, we must settle.</w:t>
      </w:r>
    </w:p>
    <w:p>
      <w:pPr>
        <w:pStyle w:val="ListParagraph"/>
        <w:numPr>
          <w:ilvl w:val="0"/>
          <w:numId w:val="1"/>
        </w:numPr>
        <w:spacing w:after="60"/>
      </w:pPr>
      <w:r>
        <w:rPr>
          <w:b/>
          <w:bCs/>
        </w:rPr>
        <w:t xml:space="preserve">Their debt</w:t>
      </w:r>
      <w:r>
        <w:t xml:space="preserve"> — if we pre-paid for work not yet done, they</w:t>
      </w:r>
    </w:p>
    <w:p>
      <w:pPr>
        <w:spacing w:after="180"/>
        <w:jc w:val="both"/>
      </w:pPr>
      <w:r>
        <w:t xml:space="preserve">refund (or we agree to credit against future projects).</w:t>
      </w:r>
    </w:p>
    <w:p>
      <w:pPr>
        <w:pStyle w:val="Heading3"/>
        <w:keepNext/>
        <w:spacing w:after="120" w:before="240"/>
      </w:pPr>
      <w:r>
        <w:t xml:space="preserve">2. Handover (Performer obligations)</w:t>
      </w:r>
    </w:p>
    <w:p>
      <w:pPr>
        <w:spacing w:after="180"/>
        <w:jc w:val="both"/>
      </w:pPr>
      <w:r>
        <w:t xml:space="preserve">Immediate stop + status report + delivery. Three actions that must happen the day notice is received:</w:t>
      </w:r>
    </w:p>
    <w:p>
      <w:pPr>
        <w:pStyle w:val="ListParagraph"/>
        <w:numPr>
          <w:ilvl w:val="0"/>
          <w:numId w:val="1"/>
        </w:numPr>
        <w:spacing w:after="60"/>
      </w:pPr>
      <w:r>
        <w:rPr>
          <w:b/>
          <w:bCs/>
        </w:rPr>
        <w:t xml:space="preserve">Stop</w:t>
      </w:r>
      <w:r>
        <w:t xml:space="preserve"> — the performer takes on no new tasks</w:t>
      </w:r>
    </w:p>
    <w:p>
      <w:pPr>
        <w:pStyle w:val="ListParagraph"/>
        <w:numPr>
          <w:ilvl w:val="0"/>
          <w:numId w:val="1"/>
        </w:numPr>
        <w:spacing w:after="60"/>
      </w:pPr>
      <w:r>
        <w:rPr>
          <w:b/>
          <w:bCs/>
        </w:rPr>
        <w:t xml:space="preserve">Report</w:t>
      </w:r>
      <w:r>
        <w:t xml:space="preserve"> — what's done, what's in progress, what's not started</w:t>
      </w:r>
    </w:p>
    <w:p>
      <w:pPr>
        <w:pStyle w:val="ListParagraph"/>
        <w:numPr>
          <w:ilvl w:val="0"/>
          <w:numId w:val="1"/>
        </w:numPr>
        <w:spacing w:after="60"/>
      </w:pPr>
      <w:r>
        <w:rPr>
          <w:b/>
          <w:bCs/>
        </w:rPr>
        <w:t xml:space="preserve">Deliver</w:t>
      </w:r>
      <w:r>
        <w:t xml:space="preserve"> — all work product (code, docs, access) transfers</w:t>
      </w:r>
    </w:p>
    <w:p>
      <w:pPr>
        <w:spacing w:after="180"/>
        <w:jc w:val="both"/>
      </w:pPr>
      <w:r>
        <w:t xml:space="preserve">to the principal</w:t>
      </w:r>
    </w:p>
    <w:p>
      <w:pPr>
        <w:spacing w:after="180"/>
        <w:jc w:val="both"/>
      </w:pPr>
      <w:r>
        <w:t xml:space="preserve">If the performer ignores this clause, we have legal grounds to demand performance and to withhold the final payment until handover is complete.</w:t>
      </w:r>
    </w:p>
    <w:p>
      <w:pPr>
        <w:pStyle w:val="Heading3"/>
        <w:keepNext/>
        <w:spacing w:after="120" w:before="240"/>
      </w:pPr>
      <w:r>
        <w:t xml:space="preserve">3. Survival</w:t>
      </w:r>
    </w:p>
    <w:p>
      <w:pPr>
        <w:spacing w:after="180"/>
        <w:jc w:val="both"/>
      </w:pPr>
      <w:r>
        <w:t xml:space="preserve">What stays in force after the agreement ends:</w:t>
      </w:r>
    </w:p>
    <w:p>
      <w:pPr>
        <w:pStyle w:val="ListParagraph"/>
        <w:numPr>
          <w:ilvl w:val="0"/>
          <w:numId w:val="1"/>
        </w:numPr>
        <w:spacing w:after="60"/>
      </w:pPr>
      <w:r>
        <w:rPr>
          <w:b/>
          <w:bCs/>
        </w:rPr>
        <w:t xml:space="preserve">IP</w:t>
      </w:r>
      <w:r>
        <w:t xml:space="preserve"> — rights to delivered Deliverables remain with the</w:t>
      </w:r>
    </w:p>
    <w:p>
      <w:pPr>
        <w:spacing w:after="180"/>
        <w:jc w:val="both"/>
      </w:pPr>
      <w:r>
        <w:t xml:space="preserve">principal</w:t>
      </w:r>
    </w:p>
    <w:p>
      <w:pPr>
        <w:pStyle w:val="ListParagraph"/>
        <w:numPr>
          <w:ilvl w:val="0"/>
          <w:numId w:val="1"/>
        </w:numPr>
        <w:spacing w:after="60"/>
      </w:pPr>
      <w:r>
        <w:rPr>
          <w:b/>
          <w:bCs/>
        </w:rPr>
        <w:t xml:space="preserve">Confidentiality</w:t>
      </w:r>
      <w:r>
        <w:t xml:space="preserve"> — anything disclosed remains confidential</w:t>
      </w:r>
    </w:p>
    <w:p>
      <w:pPr>
        <w:spacing w:after="180"/>
        <w:jc w:val="both"/>
      </w:pPr>
      <w:r>
        <w:t xml:space="preserve">(per Mutual Confidentiality terms)</w:t>
      </w:r>
    </w:p>
    <w:p>
      <w:pPr>
        <w:pStyle w:val="ListParagraph"/>
        <w:numPr>
          <w:ilvl w:val="0"/>
          <w:numId w:val="1"/>
        </w:numPr>
        <w:spacing w:after="60"/>
      </w:pPr>
      <w:r>
        <w:rPr>
          <w:b/>
          <w:bCs/>
        </w:rPr>
        <w:t xml:space="preserve">Non-solicitation</w:t>
      </w:r>
      <w:r>
        <w:t xml:space="preserve"> — 1 year in subcontracts runs from Start</w:t>
      </w:r>
    </w:p>
    <w:p>
      <w:pPr>
        <w:spacing w:after="180"/>
        <w:jc w:val="both"/>
      </w:pPr>
      <w:r>
        <w:t xml:space="preserve">date, not from termination</w:t>
      </w:r>
    </w:p>
    <w:p>
      <w:pPr>
        <w:pStyle w:val="ListParagraph"/>
        <w:numPr>
          <w:ilvl w:val="0"/>
          <w:numId w:val="1"/>
        </w:numPr>
        <w:spacing w:after="60"/>
      </w:pPr>
      <w:r>
        <w:rPr>
          <w:b/>
          <w:bCs/>
        </w:rPr>
        <w:t xml:space="preserve">Non-compete</w:t>
      </w:r>
      <w:r>
        <w:t xml:space="preserve"> — same</w:t>
      </w:r>
    </w:p>
    <w:p>
      <w:pPr>
        <w:spacing w:after="180"/>
        <w:jc w:val="both"/>
      </w:pPr>
      <w:r>
        <w:t xml:space="preserve">Survival is the key mechanism that makes a clean termination possible: if you exit, you don't walk away with the IP, clients, confidential information, or the right to poach.</w:t>
      </w:r>
    </w:p>
    <w:p>
      <w:pPr>
        <w:pStyle w:val="Heading2"/>
        <w:keepNext/>
        <w:spacing w:after="180" w:before="360"/>
      </w:pPr>
      <w:r>
        <w:t xml:space="preserve">10. Dispute Resolution</w:t>
      </w:r>
    </w:p>
    <w:p>
      <w:pPr>
        <w:spacing w:after="180"/>
        <w:jc w:val="both"/>
      </w:pPr>
      <w:r>
        <w:rPr>
          <w:b/>
          <w:bCs/>
        </w:rPr>
        <w:t xml:space="preserve">Negotiation.</w:t>
      </w:r>
      <w:r>
        <w:t xml:space="preserve"> In case of any controversy or claim arising out of this agreement, the parties shall consult and negotiate with each other and attempt to reach a mutually satisfactory solution.</w:t>
      </w:r>
    </w:p>
    <w:p>
      <w:pPr>
        <w:spacing w:after="180"/>
        <w:jc w:val="both"/>
      </w:pPr>
      <w:r>
        <w:rPr>
          <w:b/>
          <w:bCs/>
        </w:rPr>
        <w:t xml:space="preserve">Choice of forum.</w:t>
      </w:r>
      <w:r>
        <w:t xml:space="preserve"> If the parties do not reach a settlement within a period of </w:t>
      </w:r>
      <w:r>
        <w:rPr>
          <w:b/>
          <w:bCs/>
        </w:rPr>
        <w:t xml:space="preserve">60 days</w:t>
      </w:r>
      <w:r>
        <w:t xml:space="preserve">, any unresolved controversy or claim shall be settled in the </w:t>
      </w:r>
      <w:r>
        <w:rPr>
          <w:b/>
          <w:bCs/>
        </w:rPr>
        <w:t xml:space="preserve">courts of England and Wales</w:t>
      </w:r>
      <w:r>
        <w:t xml:space="preserve">.</w:t>
      </w:r>
    </w:p>
    <w:p>
      <w:pPr>
        <w:pStyle w:val="Heading2"/>
        <w:keepNext/>
        <w:spacing w:after="180" w:before="360"/>
      </w:pPr>
      <w:r>
        <w:t xml:space="preserve">11. Signatures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Acme Services GmbH</w:t>
            </w:r>
          </w:p>
        </w:tc>
        <w:tc>
          <w:tcPr>
            <w:tcW w:type="pct" w:w="50%"/>
            <w:shd w:fill="EEE9D4" w:val="clear"/>
            <w:tcMar>
              <w:top w:type="dxa" w:w="80"/>
              <w:left w:type="dxa" w:w="120"/>
              <w:bottom w:type="dxa" w:w="80"/>
              <w:right w:type="dxa" w:w="120"/>
            </w:tcMar>
          </w:tcPr>
          <w:p>
            <w:pPr>
              <w:spacing w:after="60" w:before="60"/>
            </w:pPr>
            <w:r>
              <w:rPr>
                <w:b/>
                <w:bCs/>
                <w:sz w:val="20"/>
                <w:szCs w:val="20"/>
              </w:rPr>
              <w:t xml:space="preserve">Private entrepreneur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Registry code: HRB123456X</w:t>
            </w:r>
          </w:p>
        </w:tc>
        <w:tc>
          <w:tcPr>
            <w:tcW w:type="pct" w:w="50%"/>
            <w:tcMar>
              <w:top w:type="dxa" w:w="80"/>
              <w:left w:type="dxa" w:w="120"/>
              <w:bottom w:type="dxa" w:w="80"/>
              <w:right w:type="dxa" w:w="120"/>
            </w:tcMar>
          </w:tcPr>
          <w:p>
            <w:pPr>
              <w:spacing w:after="60" w:before="60"/>
            </w:pPr>
            <w:r>
              <w:rPr>
                <w:b w:val="false"/>
                <w:bCs w:val="false"/>
                <w:sz w:val="20"/>
                <w:szCs w:val="20"/>
              </w:rPr>
              <w:t xml:space="preserve">Company ID: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Jurisdiction: Germany</w:t>
            </w:r>
          </w:p>
        </w:tc>
        <w:tc>
          <w:tcPr>
            <w:tcW w:type="pct" w:w="50%"/>
            <w:tcMar>
              <w:top w:type="dxa" w:w="80"/>
              <w:left w:type="dxa" w:w="120"/>
              <w:bottom w:type="dxa" w:w="80"/>
              <w:right w:type="dxa" w:w="120"/>
            </w:tcMar>
          </w:tcPr>
          <w:p>
            <w:pPr>
              <w:spacing w:after="60" w:before="60"/>
            </w:pPr>
            <w:r>
              <w:rPr>
                <w:b w:val="false"/>
                <w:bCs w:val="false"/>
                <w:sz w:val="20"/>
                <w:szCs w:val="20"/>
              </w:rPr>
              <w:t xml:space="preserve">Jurisdiction: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Address: Musterstraße 1, Berlin, 10115, Germany</w:t>
            </w:r>
          </w:p>
        </w:tc>
        <w:tc>
          <w:tcPr>
            <w:tcW w:type="pct" w:w="50%"/>
            <w:tcMar>
              <w:top w:type="dxa" w:w="80"/>
              <w:left w:type="dxa" w:w="120"/>
              <w:bottom w:type="dxa" w:w="80"/>
              <w:right w:type="dxa" w:w="120"/>
            </w:tcMar>
          </w:tcPr>
          <w:p>
            <w:pPr>
              <w:spacing w:after="60" w:before="60"/>
            </w:pPr>
            <w:r>
              <w:rPr>
                <w:b w:val="false"/>
                <w:bCs w:val="false"/>
                <w:sz w:val="20"/>
                <w:szCs w:val="20"/>
              </w:rPr>
              <w:t xml:space="preserve">Address: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VAT ID: DE999888777</w:t>
            </w:r>
          </w:p>
        </w:tc>
        <w:tc>
          <w:tcPr>
            <w:tcW w:type="pct" w:w="50%"/>
            <w:tcMar>
              <w:top w:type="dxa" w:w="80"/>
              <w:left w:type="dxa" w:w="120"/>
              <w:bottom w:type="dxa" w:w="80"/>
              <w:right w:type="dxa" w:w="120"/>
            </w:tcMar>
          </w:tcPr>
          <w:p>
            <w:pPr>
              <w:spacing w:after="60" w:before="60"/>
            </w:pPr>
            <w:r>
              <w:rPr>
                <w:b w:val="false"/>
                <w:bCs w:val="false"/>
                <w:sz w:val="20"/>
                <w:szCs w:val="20"/>
              </w:rPr>
              <w:t xml:space="preserve">Bank: __________</w:t>
            </w:r>
            <w:r>
              <w:rPr>
                <w:b w:val="false"/>
                <w:bCs w:val="false"/>
                <w:i/>
                <w:iCs/>
                <w:sz w:val="20"/>
                <w:szCs w:val="20"/>
              </w:rPr>
              <w:t xml:space="preserve"> / Account: </w:t>
            </w:r>
            <w:r>
              <w:rPr>
                <w:b w:val="false"/>
                <w:bCs w:val="false"/>
                <w:sz w:val="20"/>
                <w:szCs w:val="20"/>
              </w:rPr>
              <w:t xml:space="preserve">_________</w:t>
            </w:r>
            <w:r>
              <w:rPr>
                <w:b w:val="false"/>
                <w:bCs w:val="false"/>
                <w:i/>
                <w:iCs/>
                <w:sz w:val="20"/>
                <w:szCs w:val="20"/>
              </w:rPr>
              <w:t xml:space="preserve"> / SWIFT: </w:t>
            </w:r>
            <w:r>
              <w:rPr>
                <w:b w:val="false"/>
                <w:bCs w:val="false"/>
                <w:sz w:val="20"/>
                <w:szCs w:val="20"/>
              </w:rPr>
              <w:t xml:space="preserve">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r>
      <w:tr>
        <w:tc>
          <w:tcPr>
            <w:tcW w:type="pct" w:w="50%"/>
            <w:tcMar>
              <w:top w:type="dxa" w:w="80"/>
              <w:left w:type="dxa" w:w="120"/>
              <w:bottom w:type="dxa" w:w="80"/>
              <w:right w:type="dxa" w:w="120"/>
            </w:tcMar>
          </w:tcPr>
          <w:p>
            <w:pPr>
              <w:spacing w:after="60" w:before="60"/>
            </w:pPr>
            <w:r>
              <w:rPr>
                <w:b/>
                <w:bCs/>
                <w:sz w:val="20"/>
                <w:szCs w:val="20"/>
              </w:rPr>
              <w:t xml:space="preserve">Jana Weber, Director</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bl>
    <w:p>
      <w:pPr>
        <w:spacing w:after="160" w:before="0"/>
      </w:pPr>
      <w:r>
        <w:t xml:space="preserve"/>
      </w:r>
    </w:p>
    <w:p>
      <w:pPr>
        <w:pBdr>
          <w:bottom w:val="single" w:color="CCCCCC" w:sz="6" w:space="1"/>
        </w:pBdr>
        <w:spacing w:after="200" w:before="200"/>
      </w:pPr>
      <w:r>
        <w:t xml:space="preserve"/>
      </w:r>
    </w:p>
    <w:p>
      <w:pPr>
        <w:pStyle w:val="Heading2"/>
        <w:keepNext/>
        <w:spacing w:after="180" w:before="360"/>
      </w:pPr>
      <w:r>
        <w:t xml:space="preserve">Attachment A — Rate Sheet</w:t>
      </w:r>
    </w:p>
    <w:p>
      <w:pPr>
        <w:spacing w:after="180"/>
        <w:jc w:val="both"/>
      </w:pPr>
      <w:r>
        <w:t xml:space="preserve">To the Subcontractor Agreement № __________</w:t>
      </w:r>
      <w:r>
        <w:rPr>
          <w:i/>
          <w:iCs/>
        </w:rPr>
        <w:t xml:space="preserve">, dated </w:t>
      </w:r>
      <w:r>
        <w:t xml:space="preserve">__________.</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Role</w:t>
            </w:r>
          </w:p>
        </w:tc>
        <w:tc>
          <w:tcPr>
            <w:tcW w:type="pct" w:w="50%"/>
            <w:shd w:fill="EEE9D4" w:val="clear"/>
            <w:tcMar>
              <w:top w:type="dxa" w:w="80"/>
              <w:left w:type="dxa" w:w="120"/>
              <w:bottom w:type="dxa" w:w="80"/>
              <w:right w:type="dxa" w:w="120"/>
            </w:tcMar>
          </w:tcPr>
          <w:p>
            <w:pPr>
              <w:spacing w:after="60" w:before="60"/>
            </w:pPr>
            <w:r>
              <w:rPr>
                <w:b/>
                <w:bCs/>
                <w:sz w:val="20"/>
                <w:szCs w:val="20"/>
              </w:rPr>
              <w:t xml:space="preserve">Hourly rate, EUR (€)</w:t>
            </w:r>
          </w:p>
        </w:tc>
      </w:tr>
      <w:tr>
        <w:tc>
          <w:tcPr>
            <w:tcW w:type="pct" w:w="50%"/>
            <w:tcMar>
              <w:top w:type="dxa" w:w="80"/>
              <w:left w:type="dxa" w:w="120"/>
              <w:bottom w:type="dxa" w:w="80"/>
              <w:right w:type="dxa" w:w="120"/>
            </w:tcMar>
          </w:tcPr>
          <w:p>
            <w:pPr>
              <w:spacing w:after="60" w:before="60"/>
            </w:pPr>
            <w:r>
              <w:rPr>
                <w:b w:val="false"/>
                <w:bCs w:val="false"/>
                <w:sz w:val="20"/>
                <w:szCs w:val="20"/>
              </w:rPr>
              <w:t xml:space="preserve">Digital Marketing Specialist</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bl>
    <w:p>
      <w:pPr>
        <w:spacing w:after="16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A8578"/>
        <w:sz w:val="16"/>
        <w:szCs w:val="16"/>
      </w:rPr>
      <w:t xml:space="preserve">Договір субпідряду —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субпідряду — Marketing</dc:title>
  <dc:creator>Drafters</dc:creator>
  <dc:description>Exported from Drafters — Договір субпідряду — Marketing</dc:description>
  <cp:lastModifiedBy>Un-named</cp:lastModifiedBy>
  <cp:revision>1</cp:revision>
  <dcterms:created xsi:type="dcterms:W3CDTF">2026-04-16T09:11:34.431Z</dcterms:created>
  <dcterms:modified xsi:type="dcterms:W3CDTF">2026-04-16T09:11:34.431Z</dcterms:modified>
</cp:coreProperties>
</file>

<file path=docProps/custom.xml><?xml version="1.0" encoding="utf-8"?>
<Properties xmlns="http://schemas.openxmlformats.org/officeDocument/2006/custom-properties" xmlns:vt="http://schemas.openxmlformats.org/officeDocument/2006/docPropsVTypes"/>
</file>