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Договір субпідряду — Project Manager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Договір субпідряду</w:t>
      </w:r>
    </w:p>
    <w:p>
      <w:pPr>
        <w:spacing w:after="180"/>
        <w:jc w:val="both"/>
      </w:pPr>
      <w:r>
        <w:rPr>
          <w:b/>
          <w:bCs/>
        </w:rPr>
        <w:t xml:space="preserve">Дата укладення: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Acme Services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HRB123456X</w:t>
      </w:r>
      <w:r>
        <w:t xml:space="preserve">, VAT ID </w:t>
      </w:r>
      <w:r>
        <w:rPr>
          <w:b/>
          <w:bCs/>
        </w:rPr>
        <w:t xml:space="preserve">DE999888777</w:t>
      </w:r>
      <w:r>
        <w:t xml:space="preserve">, з юридичною адресою: Musterstraße 1, Berlin, 10115, Germany, в особі Директора Jana Weber, що діє на підставі Статуту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80"/>
        <w:jc w:val="both"/>
      </w:pPr>
      <w:r>
        <w:rPr>
          <w:b/>
          <w:bCs/>
        </w:rPr>
        <w:t xml:space="preserve">Субпідрядник:</w:t>
      </w:r>
      <w:r>
        <w:t xml:space="preserve"> __________</w:t>
      </w:r>
      <w:r>
        <w:rPr>
          <w:i/>
          <w:iCs/>
        </w:rPr>
        <w:t xml:space="preserve">, з адресою: </w:t>
      </w:r>
      <w:r>
        <w:t xml:space="preserve">_________</w:t>
      </w:r>
      <w:r>
        <w:rPr>
          <w:i/>
          <w:iCs/>
        </w:rPr>
        <w:t xml:space="preserve">, реєстраційний номер </w:t>
      </w:r>
      <w:r>
        <w:t xml:space="preserve">__________ (надалі — "</w:t>
      </w:r>
      <w:r>
        <w:rPr>
          <w:b/>
          <w:bCs/>
        </w:rPr>
        <w:t xml:space="preserve">Субпідрядник</w:t>
      </w:r>
      <w:r>
        <w:t xml:space="preserve">").</w:t>
      </w:r>
    </w:p>
    <w:p>
      <w:pPr>
        <w:pStyle w:val="Heading2"/>
        <w:keepNext/>
        <w:spacing w:after="180" w:before="360"/>
      </w:pPr>
      <w:r>
        <w:t xml:space="preserve">1. Key terms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Субпідрядні послуги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Project management and IT consulting</w:t>
            </w:r>
            <w:r>
              <w:rPr>
                <w:b w:val="false"/>
                <w:bCs w:val="false"/>
                <w:sz w:val="20"/>
                <w:szCs w:val="20"/>
              </w:rPr>
              <w:t xml:space="preserve"> (надалі — "</w:t>
            </w:r>
            <w:r>
              <w:rPr>
                <w:b/>
                <w:bCs/>
                <w:sz w:val="20"/>
                <w:szCs w:val="20"/>
              </w:rPr>
              <w:t xml:space="preserve">Послуги</w:t>
            </w:r>
            <w:r>
              <w:rPr>
                <w:b w:val="false"/>
                <w:bCs w:val="false"/>
                <w:sz w:val="20"/>
                <w:szCs w:val="20"/>
              </w:rPr>
              <w:t xml:space="preserve">")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Порядок оплати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 згідно з time-sheet, наданим Субпідрядником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Інвойсинг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Щомісячно. Контрактор зобов'язується сплатити протягом </w:t>
            </w:r>
            <w:r>
              <w:rPr>
                <w:b/>
                <w:bCs/>
                <w:sz w:val="20"/>
                <w:szCs w:val="20"/>
              </w:rPr>
              <w:t xml:space="preserve">21 календарного дня</w:t>
            </w:r>
            <w:r>
              <w:rPr>
                <w:b w:val="false"/>
                <w:bCs w:val="false"/>
                <w:sz w:val="20"/>
                <w:szCs w:val="20"/>
              </w:rPr>
              <w:t xml:space="preserve"> з дати інвойсу.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Банківські перекази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банківський рахунок, зазначений в інвойсі. Кожна сторона покриває банківські комісії свого банку та його посередників.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Овертайм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Тільки з письмового погодження Контрактора.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Перегляд ставки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частіше ніж раз на 12 місяців. Не більше </w:t>
            </w:r>
            <w:r>
              <w:rPr>
                <w:b/>
                <w:bCs/>
                <w:sz w:val="20"/>
                <w:szCs w:val="20"/>
              </w:rPr>
              <w:t xml:space="preserve">10%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2. Платежі за послуги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4. 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5. Deliverables and Intellectual Property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p>
      <w:pPr>
        <w:pStyle w:val="Heading2"/>
        <w:keepNext/>
        <w:spacing w:after="180" w:before="360"/>
      </w:pPr>
      <w:r>
        <w:t xml:space="preserve">6. Publicity</w:t>
      </w:r>
    </w:p>
    <w:p>
      <w:pPr>
        <w:spacing w:after="180"/>
        <w:jc w:val="both"/>
      </w:pPr>
      <w:r>
        <w:t xml:space="preserve">Субпідрядник має право згадувати факт надання Послуг Контрактору на власному вебсайті виключно з маркетинговою метою.</w:t>
      </w:r>
    </w:p>
    <w:p>
      <w:pPr>
        <w:pStyle w:val="Heading2"/>
        <w:keepNext/>
        <w:spacing w:after="180" w:before="360"/>
      </w:pPr>
      <w:r>
        <w:t xml:space="preserve">7. Term and Termination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8. Limitation of Liability and Indemnification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9. Effect of Termination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10. Dispute Resolution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11.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Acme Services GmbH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Субпідрядник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 code: HRB123456X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Musterstraße 1, Berlin, 10115,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DE999888777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Jana Weber, Director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До Договору субпідряду, укладеного ___________.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Ставка, USD/година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Договір субпідряду — Project 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Project Manager</dc:title>
  <dc:creator>Drafters</dc:creator>
  <dc:description>Exported from Drafters — Договір субпідряду — Project Manager</dc:description>
  <cp:lastModifiedBy>Un-named</cp:lastModifiedBy>
  <cp:revision>1</cp:revision>
  <dcterms:created xsi:type="dcterms:W3CDTF">2026-04-16T09:11:34.453Z</dcterms:created>
  <dcterms:modified xsi:type="dcterms:W3CDTF">2026-04-16T09:11:34.453Z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