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600"/>
        <w:jc w:val="center"/>
      </w:pPr>
      <w:r>
        <w:rPr>
          <w:rFonts w:ascii="Georgia" w:cs="Georgia" w:eastAsia="Georgia" w:hAnsi="Georgia"/>
          <w:b/>
          <w:bCs/>
          <w:sz w:val="48"/>
          <w:szCs w:val="48"/>
        </w:rPr>
        <w:t xml:space="preserve">Договір Time &amp; Materials</w:t>
      </w:r>
    </w:p>
    <w:p>
      <w:pPr>
        <w:spacing w:after="120"/>
        <w:jc w:val="center"/>
      </w:pPr>
      <w:r>
        <w:rPr>
          <w:rFonts w:ascii="Georgia" w:cs="Georgia" w:eastAsia="Georgia" w:hAnsi="Georgia"/>
          <w:color w:val="8A8578"/>
          <w:sz w:val="18"/>
          <w:szCs w:val="18"/>
        </w:rPr>
        <w:t xml:space="preserve">Drafters</w:t>
      </w:r>
    </w:p>
    <w:p>
      <w:r>
        <w:r>
          <w:br w:type="page"/>
        </w:r>
      </w:r>
    </w:p>
    <w:p>
      <w:pPr>
        <w:pStyle w:val="Heading1"/>
        <w:keepNext/>
        <w:spacing w:after="180" w:before="360"/>
      </w:pPr>
      <w:r>
        <w:t xml:space="preserve">Time &amp; Materials Agreement</w:t>
      </w:r>
    </w:p>
    <w:p>
      <w:pPr>
        <w:pBdr>
          <w:left w:val="single" w:color="B8C2F5" w:sz="12" w:space="8"/>
        </w:pBdr>
        <w:spacing w:after="160" w:before="120"/>
        <w:ind w:left="400"/>
      </w:pPr>
      <w:r>
        <w:rPr>
          <w:i/>
          <w:iCs/>
          <w:color w:val="555555"/>
        </w:rPr>
        <w:t xml:space="preserve">**Брифінг перед переговорами.** T&amp;M — найгнучкіша модель, але саме ця гнучкість створює точки тертя. Три секції обговорюються в кожній угоді: **Rate increase cap** (§1 — клієнти хочуть заморозити ставки або обмежити зростання до 5%), **Liability cap** (§6 — завжди закривається останнім), та **Overtime rate** (§1 — клієнти тиснуть на 125% замість 150%). На відміну від fixed-price, change control тут не болюча тема — scope flexibility вже вбудована в модель. Головний ризик: клієнт оспорює reported hours. Тому time tracking transparency у §1 — це не формальність, а фундамент довіри.</w:t>
      </w:r>
    </w:p>
    <w:p>
      <w:pPr>
        <w:spacing w:after="180"/>
        <w:jc w:val="both"/>
      </w:pPr>
      <w:r>
        <w:rPr>
          <w:b/>
          <w:bCs/>
        </w:rPr>
        <w:t xml:space="preserve">Start date:</w:t>
      </w:r>
      <w:r>
        <w:t xml:space="preserve"> ___________</w:t>
      </w:r>
    </w:p>
    <w:p>
      <w:pPr>
        <w:spacing w:after="180"/>
        <w:jc w:val="both"/>
      </w:pPr>
      <w:r>
        <w:rPr>
          <w:b/>
          <w:bCs/>
        </w:rPr>
        <w:t xml:space="preserve">Contractor:</w:t>
      </w:r>
      <w:r>
        <w:t xml:space="preserve"> </w:t>
      </w:r>
      <w:r>
        <w:rPr>
          <w:b/>
          <w:bCs/>
        </w:rPr>
        <w:t xml:space="preserve">Acme Services GmbH</w:t>
      </w:r>
      <w:r>
        <w:t xml:space="preserve">, a company incorporated under the laws of the Federal Republic of Germany, Registry code </w:t>
      </w:r>
      <w:r>
        <w:rPr>
          <w:b/>
          <w:bCs/>
        </w:rPr>
        <w:t xml:space="preserve">HRB123456X</w:t>
      </w:r>
      <w:r>
        <w:t xml:space="preserve">, VAT ID </w:t>
      </w:r>
      <w:r>
        <w:rPr>
          <w:b/>
          <w:bCs/>
        </w:rPr>
        <w:t xml:space="preserve">DE999888777</w:t>
      </w:r>
      <w:r>
        <w:t xml:space="preserve">, with its registered address at Musterstraße 1, Berlin, 10115, Germany, represented by its Director [Director Name] (hereinafter the "</w:t>
      </w:r>
      <w:r>
        <w:rPr>
          <w:b/>
          <w:bCs/>
        </w:rPr>
        <w:t xml:space="preserve">Contractor</w:t>
      </w:r>
      <w:r>
        <w:t xml:space="preserve">").</w:t>
      </w:r>
    </w:p>
    <w:p>
      <w:pPr>
        <w:spacing w:after="180"/>
        <w:jc w:val="both"/>
      </w:pPr>
      <w:r>
        <w:rPr>
          <w:b/>
          <w:bCs/>
        </w:rPr>
        <w:t xml:space="preserve">Customer:</w:t>
      </w:r>
      <w:r>
        <w:t xml:space="preserve"> ___________ (hereinafter the "</w:t>
      </w:r>
      <w:r>
        <w:rPr>
          <w:b/>
          <w:bCs/>
        </w:rPr>
        <w:t xml:space="preserve">Customer</w:t>
      </w:r>
      <w:r>
        <w:t xml:space="preserve">").</w:t>
      </w:r>
    </w:p>
    <w:p>
      <w:pPr>
        <w:spacing w:after="180"/>
        <w:jc w:val="both"/>
      </w:pPr>
      <w:r>
        <w:rPr>
          <w:b/>
          <w:bCs/>
        </w:rPr>
        <w:t xml:space="preserve">Whereas</w:t>
      </w:r>
      <w:r>
        <w:t xml:space="preserve"> the Customer desires to engage the Contractor to provide software development and consulting services on a time-and-materials basis, and the Contractor agrees to provide such services subject to the terms below.</w:t>
      </w:r>
    </w:p>
    <w:p>
      <w:pPr>
        <w:pStyle w:val="Heading2"/>
        <w:keepNext/>
        <w:spacing w:after="180" w:before="360"/>
      </w:pPr>
      <w:r>
        <w:t xml:space="preserve">1. Key Terms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Parameter</w:t>
            </w:r>
          </w:p>
        </w:tc>
        <w:tc>
          <w:tcPr>
            <w:tcW w:type="pct" w:w="50%"/>
            <w:shd w:fill="EEE9D4" w:val="clear"/>
            <w:tcMar>
              <w:top w:type="dxa" w:w="80"/>
              <w:left w:type="dxa" w:w="120"/>
              <w:bottom w:type="dxa" w:w="80"/>
              <w:right w:type="dxa" w:w="120"/>
            </w:tcMar>
          </w:tcPr>
          <w:p>
            <w:pPr>
              <w:spacing w:after="60" w:before="60"/>
            </w:pPr>
            <w:r>
              <w:rPr>
                <w:b/>
                <w:bCs/>
                <w:sz w:val="20"/>
                <w:szCs w:val="20"/>
              </w:rPr>
              <w:t xml:space="preserve">Value</w:t>
            </w:r>
          </w:p>
        </w:tc>
      </w:tr>
      <w:tr>
        <w:tc>
          <w:tcPr>
            <w:tcW w:type="pct" w:w="50%"/>
            <w:tcMar>
              <w:top w:type="dxa" w:w="80"/>
              <w:left w:type="dxa" w:w="120"/>
              <w:bottom w:type="dxa" w:w="80"/>
              <w:right w:type="dxa" w:w="120"/>
            </w:tcMar>
          </w:tcPr>
          <w:p>
            <w:pPr>
              <w:spacing w:after="60" w:before="60"/>
            </w:pPr>
            <w:r>
              <w:rPr>
                <w:b/>
                <w:bCs/>
                <w:sz w:val="20"/>
                <w:szCs w:val="20"/>
              </w:rPr>
              <w:t xml:space="preserve">Service provided</w:t>
            </w:r>
          </w:p>
        </w:tc>
        <w:tc>
          <w:tcPr>
            <w:tcW w:type="pct" w:w="50%"/>
            <w:tcMar>
              <w:top w:type="dxa" w:w="80"/>
              <w:left w:type="dxa" w:w="120"/>
              <w:bottom w:type="dxa" w:w="80"/>
              <w:right w:type="dxa" w:w="120"/>
            </w:tcMar>
          </w:tcPr>
          <w:p>
            <w:pPr>
              <w:spacing w:after="60" w:before="60"/>
            </w:pPr>
            <w:r>
              <w:rPr>
                <w:b w:val="false"/>
                <w:bCs w:val="false"/>
                <w:sz w:val="20"/>
                <w:szCs w:val="20"/>
              </w:rPr>
              <w:t xml:space="preserve">Software development and IT consulting (hereinafter the "</w:t>
            </w:r>
            <w:r>
              <w:rPr>
                <w:b/>
                <w:bCs/>
                <w:sz w:val="20"/>
                <w:szCs w:val="20"/>
              </w:rPr>
              <w:t xml:space="preserve">Services</w:t>
            </w:r>
            <w:r>
              <w:rPr>
                <w:b w:val="false"/>
                <w:bCs w:val="false"/>
                <w:sz w:val="20"/>
                <w:szCs w:val="20"/>
              </w:rPr>
              <w:t xml:space="preserve">")</w:t>
            </w:r>
          </w:p>
        </w:tc>
      </w:tr>
      <w:tr>
        <w:tc>
          <w:tcPr>
            <w:tcW w:type="pct" w:w="50%"/>
            <w:tcMar>
              <w:top w:type="dxa" w:w="80"/>
              <w:left w:type="dxa" w:w="120"/>
              <w:bottom w:type="dxa" w:w="80"/>
              <w:right w:type="dxa" w:w="120"/>
            </w:tcMar>
          </w:tcPr>
          <w:p>
            <w:pPr>
              <w:spacing w:after="60" w:before="60"/>
            </w:pPr>
            <w:r>
              <w:rPr>
                <w:b/>
                <w:bCs/>
                <w:sz w:val="20"/>
                <w:szCs w:val="20"/>
              </w:rPr>
              <w:t xml:space="preserve">Billing model</w:t>
            </w:r>
          </w:p>
        </w:tc>
        <w:tc>
          <w:tcPr>
            <w:tcW w:type="pct" w:w="50%"/>
            <w:tcMar>
              <w:top w:type="dxa" w:w="80"/>
              <w:left w:type="dxa" w:w="120"/>
              <w:bottom w:type="dxa" w:w="80"/>
              <w:right w:type="dxa" w:w="120"/>
            </w:tcMar>
          </w:tcPr>
          <w:p>
            <w:pPr>
              <w:spacing w:after="60" w:before="60"/>
            </w:pPr>
            <w:r>
              <w:rPr>
                <w:b/>
                <w:bCs/>
                <w:sz w:val="20"/>
                <w:szCs w:val="20"/>
              </w:rPr>
              <w:t xml:space="preserve">Time &amp; Materials</w:t>
            </w:r>
            <w:r>
              <w:rPr>
                <w:b w:val="false"/>
                <w:bCs w:val="false"/>
                <w:sz w:val="20"/>
                <w:szCs w:val="20"/>
              </w:rPr>
              <w:t xml:space="preserve"> — monthly billing based on actual hours worked</w:t>
            </w:r>
          </w:p>
        </w:tc>
      </w:tr>
      <w:tr>
        <w:tc>
          <w:tcPr>
            <w:tcW w:type="pct" w:w="50%"/>
            <w:tcMar>
              <w:top w:type="dxa" w:w="80"/>
              <w:left w:type="dxa" w:w="120"/>
              <w:bottom w:type="dxa" w:w="80"/>
              <w:right w:type="dxa" w:w="120"/>
            </w:tcMar>
          </w:tcPr>
          <w:p>
            <w:pPr>
              <w:spacing w:after="60" w:before="60"/>
            </w:pPr>
            <w:r>
              <w:rPr>
                <w:b/>
                <w:bCs/>
                <w:sz w:val="20"/>
                <w:szCs w:val="20"/>
              </w:rPr>
              <w:t xml:space="preserve">Invoicing</w:t>
            </w:r>
          </w:p>
        </w:tc>
        <w:tc>
          <w:tcPr>
            <w:tcW w:type="pct" w:w="50%"/>
            <w:tcMar>
              <w:top w:type="dxa" w:w="80"/>
              <w:left w:type="dxa" w:w="120"/>
              <w:bottom w:type="dxa" w:w="80"/>
              <w:right w:type="dxa" w:w="120"/>
            </w:tcMar>
          </w:tcPr>
          <w:p>
            <w:pPr>
              <w:spacing w:after="60" w:before="60"/>
            </w:pPr>
            <w:r>
              <w:rPr>
                <w:b w:val="false"/>
                <w:bCs w:val="false"/>
                <w:sz w:val="20"/>
                <w:szCs w:val="20"/>
              </w:rPr>
              <w:t xml:space="preserve">Monthly, within </w:t>
            </w:r>
            <w:r>
              <w:rPr>
                <w:b/>
                <w:bCs/>
                <w:sz w:val="20"/>
                <w:szCs w:val="20"/>
              </w:rPr>
              <w:t xml:space="preserve">5 business days</w:t>
            </w:r>
            <w:r>
              <w:rPr>
                <w:b w:val="false"/>
                <w:bCs w:val="false"/>
                <w:sz w:val="20"/>
                <w:szCs w:val="20"/>
              </w:rPr>
              <w:t xml:space="preserve"> after the end of each calendar month. The Customer must pay within </w:t>
            </w:r>
            <w:r>
              <w:rPr>
                <w:b/>
                <w:bCs/>
                <w:sz w:val="20"/>
                <w:szCs w:val="20"/>
              </w:rPr>
              <w:t xml:space="preserve">15 calendar days</w:t>
            </w:r>
            <w:r>
              <w:rPr>
                <w:b w:val="false"/>
                <w:bCs w:val="false"/>
                <w:sz w:val="20"/>
                <w:szCs w:val="20"/>
              </w:rPr>
              <w:t xml:space="preserve"> from the invoice date.</w:t>
            </w:r>
          </w:p>
        </w:tc>
      </w:tr>
      <w:tr>
        <w:tc>
          <w:tcPr>
            <w:tcW w:type="pct" w:w="50%"/>
            <w:tcMar>
              <w:top w:type="dxa" w:w="80"/>
              <w:left w:type="dxa" w:w="120"/>
              <w:bottom w:type="dxa" w:w="80"/>
              <w:right w:type="dxa" w:w="120"/>
            </w:tcMar>
          </w:tcPr>
          <w:p>
            <w:pPr>
              <w:spacing w:after="60" w:before="60"/>
            </w:pPr>
            <w:r>
              <w:rPr>
                <w:b/>
                <w:bCs/>
                <w:sz w:val="20"/>
                <w:szCs w:val="20"/>
              </w:rPr>
              <w:t xml:space="preserve">Time tracking</w:t>
            </w:r>
          </w:p>
        </w:tc>
        <w:tc>
          <w:tcPr>
            <w:tcW w:type="pct" w:w="50%"/>
            <w:tcMar>
              <w:top w:type="dxa" w:w="80"/>
              <w:left w:type="dxa" w:w="120"/>
              <w:bottom w:type="dxa" w:w="80"/>
              <w:right w:type="dxa" w:w="120"/>
            </w:tcMar>
          </w:tcPr>
          <w:p>
            <w:pPr>
              <w:spacing w:after="60" w:before="60"/>
            </w:pPr>
            <w:r>
              <w:rPr>
                <w:b w:val="false"/>
                <w:bCs w:val="false"/>
                <w:sz w:val="20"/>
                <w:szCs w:val="20"/>
              </w:rPr>
              <w:t xml:space="preserve">The Contractor provides detailed time reports with each invoice, showing hours per team member and a brief description of work performed.</w:t>
            </w:r>
          </w:p>
        </w:tc>
      </w:tr>
      <w:tr>
        <w:tc>
          <w:tcPr>
            <w:tcW w:type="pct" w:w="50%"/>
            <w:tcMar>
              <w:top w:type="dxa" w:w="80"/>
              <w:left w:type="dxa" w:w="120"/>
              <w:bottom w:type="dxa" w:w="80"/>
              <w:right w:type="dxa" w:w="120"/>
            </w:tcMar>
          </w:tcPr>
          <w:p>
            <w:pPr>
              <w:spacing w:after="60" w:before="60"/>
            </w:pPr>
            <w:r>
              <w:rPr>
                <w:b/>
                <w:bCs/>
                <w:sz w:val="20"/>
                <w:szCs w:val="20"/>
              </w:rPr>
              <w:t xml:space="preserve">Payment transfers</w:t>
            </w:r>
          </w:p>
        </w:tc>
        <w:tc>
          <w:tcPr>
            <w:tcW w:type="pct" w:w="50%"/>
            <w:tcMar>
              <w:top w:type="dxa" w:w="80"/>
              <w:left w:type="dxa" w:w="120"/>
              <w:bottom w:type="dxa" w:w="80"/>
              <w:right w:type="dxa" w:w="120"/>
            </w:tcMar>
          </w:tcPr>
          <w:p>
            <w:pPr>
              <w:spacing w:after="60" w:before="60"/>
            </w:pPr>
            <w:r>
              <w:rPr>
                <w:b w:val="false"/>
                <w:bCs w:val="false"/>
                <w:sz w:val="20"/>
                <w:szCs w:val="20"/>
              </w:rPr>
              <w:t xml:space="preserve">To the banking account specified in the invoice. The sending party covers bank charges.</w:t>
            </w:r>
          </w:p>
        </w:tc>
      </w:tr>
      <w:tr>
        <w:tc>
          <w:tcPr>
            <w:tcW w:type="pct" w:w="50%"/>
            <w:tcMar>
              <w:top w:type="dxa" w:w="80"/>
              <w:left w:type="dxa" w:w="120"/>
              <w:bottom w:type="dxa" w:w="80"/>
              <w:right w:type="dxa" w:w="120"/>
            </w:tcMar>
          </w:tcPr>
          <w:p>
            <w:pPr>
              <w:spacing w:after="60" w:before="60"/>
            </w:pPr>
            <w:r>
              <w:rPr>
                <w:b/>
                <w:bCs/>
                <w:sz w:val="20"/>
                <w:szCs w:val="20"/>
              </w:rPr>
              <w:t xml:space="preserve">Term and Termination</w:t>
            </w:r>
          </w:p>
        </w:tc>
        <w:tc>
          <w:tcPr>
            <w:tcW w:type="pct" w:w="50%"/>
            <w:tcMar>
              <w:top w:type="dxa" w:w="80"/>
              <w:left w:type="dxa" w:w="120"/>
              <w:bottom w:type="dxa" w:w="80"/>
              <w:right w:type="dxa" w:w="120"/>
            </w:tcMar>
          </w:tcPr>
          <w:p>
            <w:pPr>
              <w:spacing w:after="60" w:before="60"/>
            </w:pPr>
            <w:r>
              <w:rPr>
                <w:b w:val="false"/>
                <w:bCs w:val="false"/>
                <w:sz w:val="20"/>
                <w:szCs w:val="20"/>
              </w:rPr>
              <w:t xml:space="preserve">At-will termination with </w:t>
            </w:r>
            <w:r>
              <w:rPr>
                <w:b/>
                <w:bCs/>
                <w:sz w:val="20"/>
                <w:szCs w:val="20"/>
              </w:rPr>
              <w:t xml:space="preserve">30 days</w:t>
            </w:r>
            <w:r>
              <w:rPr>
                <w:b w:val="false"/>
                <w:bCs w:val="false"/>
                <w:sz w:val="20"/>
                <w:szCs w:val="20"/>
              </w:rPr>
              <w:t xml:space="preserve"> prior notice.</w:t>
            </w:r>
          </w:p>
        </w:tc>
      </w:tr>
      <w:tr>
        <w:tc>
          <w:tcPr>
            <w:tcW w:type="pct" w:w="50%"/>
            <w:tcMar>
              <w:top w:type="dxa" w:w="80"/>
              <w:left w:type="dxa" w:w="120"/>
              <w:bottom w:type="dxa" w:w="80"/>
              <w:right w:type="dxa" w:w="120"/>
            </w:tcMar>
          </w:tcPr>
          <w:p>
            <w:pPr>
              <w:spacing w:after="60" w:before="60"/>
            </w:pPr>
            <w:r>
              <w:rPr>
                <w:b/>
                <w:bCs/>
                <w:sz w:val="20"/>
                <w:szCs w:val="20"/>
              </w:rPr>
              <w:t xml:space="preserve">Team</w:t>
            </w:r>
          </w:p>
        </w:tc>
        <w:tc>
          <w:tcPr>
            <w:tcW w:type="pct" w:w="50%"/>
            <w:tcMar>
              <w:top w:type="dxa" w:w="80"/>
              <w:left w:type="dxa" w:w="120"/>
              <w:bottom w:type="dxa" w:w="80"/>
              <w:right w:type="dxa" w:w="120"/>
            </w:tcMar>
          </w:tcPr>
          <w:p>
            <w:pPr>
              <w:spacing w:after="60" w:before="60"/>
            </w:pPr>
            <w:r>
              <w:rPr>
                <w:b w:val="false"/>
                <w:bCs w:val="false"/>
                <w:sz w:val="20"/>
                <w:szCs w:val="20"/>
              </w:rPr>
              <w:t xml:space="preserve">The Contractor may engage subcontractors.</w:t>
            </w:r>
          </w:p>
        </w:tc>
      </w:tr>
      <w:tr>
        <w:tc>
          <w:tcPr>
            <w:tcW w:type="pct" w:w="50%"/>
            <w:tcMar>
              <w:top w:type="dxa" w:w="80"/>
              <w:left w:type="dxa" w:w="120"/>
              <w:bottom w:type="dxa" w:w="80"/>
              <w:right w:type="dxa" w:w="120"/>
            </w:tcMar>
          </w:tcPr>
          <w:p>
            <w:pPr>
              <w:spacing w:after="60" w:before="60"/>
            </w:pPr>
            <w:r>
              <w:rPr>
                <w:b/>
                <w:bCs/>
                <w:sz w:val="20"/>
                <w:szCs w:val="20"/>
              </w:rPr>
              <w:t xml:space="preserve">Overtime</w:t>
            </w:r>
          </w:p>
        </w:tc>
        <w:tc>
          <w:tcPr>
            <w:tcW w:type="pct" w:w="50%"/>
            <w:tcMar>
              <w:top w:type="dxa" w:w="80"/>
              <w:left w:type="dxa" w:w="120"/>
              <w:bottom w:type="dxa" w:w="80"/>
              <w:right w:type="dxa" w:w="120"/>
            </w:tcMar>
          </w:tcPr>
          <w:p>
            <w:pPr>
              <w:spacing w:after="60" w:before="60"/>
            </w:pPr>
            <w:r>
              <w:rPr>
                <w:b w:val="false"/>
                <w:bCs w:val="false"/>
                <w:sz w:val="20"/>
                <w:szCs w:val="20"/>
              </w:rPr>
              <w:t xml:space="preserve">Work beyond 40 hours/week per team member requires prior written approval. Overtime rate = </w:t>
            </w:r>
            <w:r>
              <w:rPr>
                <w:b/>
                <w:bCs/>
                <w:sz w:val="20"/>
                <w:szCs w:val="20"/>
              </w:rPr>
              <w:t xml:space="preserve">150%</w:t>
            </w:r>
            <w:r>
              <w:rPr>
                <w:b w:val="false"/>
                <w:bCs w:val="false"/>
                <w:sz w:val="20"/>
                <w:szCs w:val="20"/>
              </w:rPr>
              <w:t xml:space="preserve"> of the standard hourly rate.</w:t>
            </w:r>
          </w:p>
        </w:tc>
      </w:tr>
      <w:tr>
        <w:tc>
          <w:tcPr>
            <w:tcW w:type="pct" w:w="50%"/>
            <w:tcMar>
              <w:top w:type="dxa" w:w="80"/>
              <w:left w:type="dxa" w:w="120"/>
              <w:bottom w:type="dxa" w:w="80"/>
              <w:right w:type="dxa" w:w="120"/>
            </w:tcMar>
          </w:tcPr>
          <w:p>
            <w:pPr>
              <w:spacing w:after="60" w:before="60"/>
            </w:pPr>
            <w:r>
              <w:rPr>
                <w:b/>
                <w:bCs/>
                <w:sz w:val="20"/>
                <w:szCs w:val="20"/>
              </w:rPr>
              <w:t xml:space="preserve">Rate increase</w:t>
            </w:r>
          </w:p>
        </w:tc>
        <w:tc>
          <w:tcPr>
            <w:tcW w:type="pct" w:w="50%"/>
            <w:tcMar>
              <w:top w:type="dxa" w:w="80"/>
              <w:left w:type="dxa" w:w="120"/>
              <w:bottom w:type="dxa" w:w="80"/>
              <w:right w:type="dxa" w:w="120"/>
            </w:tcMar>
          </w:tcPr>
          <w:p>
            <w:pPr>
              <w:spacing w:after="60" w:before="60"/>
            </w:pPr>
            <w:r>
              <w:rPr>
                <w:b w:val="false"/>
                <w:bCs w:val="false"/>
                <w:sz w:val="20"/>
                <w:szCs w:val="20"/>
              </w:rPr>
              <w:t xml:space="preserve">No more than once every 12 months. Not more than </w:t>
            </w:r>
            <w:r>
              <w:rPr>
                <w:b/>
                <w:bCs/>
                <w:sz w:val="20"/>
                <w:szCs w:val="20"/>
              </w:rPr>
              <w:t xml:space="preserve">12%</w:t>
            </w:r>
            <w:r>
              <w:rPr>
                <w:b w:val="false"/>
                <w:bCs w:val="false"/>
                <w:sz w:val="20"/>
                <w:szCs w:val="20"/>
              </w:rPr>
              <w:t xml:space="preserve"> annually, with </w:t>
            </w:r>
            <w:r>
              <w:rPr>
                <w:b/>
                <w:bCs/>
                <w:sz w:val="20"/>
                <w:szCs w:val="20"/>
              </w:rPr>
              <w:t xml:space="preserve">60 days</w:t>
            </w:r>
            <w:r>
              <w:rPr>
                <w:b w:val="false"/>
                <w:bCs w:val="false"/>
                <w:sz w:val="20"/>
                <w:szCs w:val="20"/>
              </w:rPr>
              <w:t xml:space="preserve"> prior written notice.</w:t>
            </w:r>
          </w:p>
        </w:tc>
      </w:tr>
    </w:tbl>
    <w:p>
      <w:pPr>
        <w:spacing w:after="160" w:before="0"/>
      </w:pPr>
      <w:r>
        <w:t xml:space="preserve"/>
      </w:r>
    </w:p>
    <w:p>
      <w:pPr>
        <w:spacing w:after="180"/>
        <w:jc w:val="both"/>
      </w:pPr>
      <w:r>
        <w:t xml:space="preserve">T&amp;M дає передбачуваний cash flow — щомісячний білінг за фактичні години. 15 днів на оплату — агресивно, але прийнятно для більшості клієнтів. Якщо просять 30 — погоджуйтесь для великих угод (50k+/міс). 45+ днів — червоний прапорець: їхній AP department диктує умови, а не люди з якими працюєте. &lt;/Voice&gt;</w:t>
      </w:r>
    </w:p>
    <w:p>
      <w:pPr>
        <w:spacing w:after="180"/>
        <w:jc w:val="both"/>
      </w:pPr>
      <w:r>
        <w:t xml:space="preserve">Rate increase cap — найгарячіший пункт T&amp;M переговорів. Клієнти тиснуть на rate lock (0%) або cap 5%. Наша позиція: 12% — це максимум, не автоматика. На практиці підвищуємо 5-8%. Якщо клієнт тисне нижче 10% — погоджуйтесь на 8-10%, нижче 8% не варто, бо інфляція з'їсть margin. 60 днів notice — дає клієнту час на бюджетування. Trade-off: якщо клієнт хоче cap 5% — вимагайте довший term (24 міс). &lt;/Voice&gt;</w:t>
      </w:r>
    </w:p>
    <w:p>
      <w:pPr>
        <w:spacing w:after="180"/>
        <w:jc w:val="both"/>
      </w:pPr>
      <w:r>
        <w:t xml:space="preserve">Overtime 150% — стандарт ринку. Деякі клієнти вимагають 125% або взагалі без premium. Юридично допустимо, але знижує мотивацію команди працювати позаурочно. Prior written approval на overtime захищає обидві сторони від disputed hours. &lt;/Voice&gt;</w:t>
      </w:r>
    </w:p>
    <w:p>
      <w:pPr>
        <w:spacing w:after="180"/>
        <w:jc w:val="both"/>
      </w:pPr>
      <w:r>
        <w:t xml:space="preserve">Time tracking — фундамент T&amp;M відносин. Detailed time reports з описом робіт запобігають спорам. Переконайтесь, що команда логує години щоденно, а не постфактум у кінці місяця. Клієнти, які сумніваються в reported hours — найчастіша причина конфліктів у T&amp;M. &lt;/Voice&gt;</w:t>
      </w:r>
    </w:p>
    <w:p>
      <w:pPr>
        <w:spacing w:after="180"/>
        <w:jc w:val="both"/>
      </w:pPr>
      <w:r>
        <w:t xml:space="preserve">Key Terms задають параметри для всього контракту: rate increase cap впливає на довгостроковість угоди, overtime rate — на flexibility у delivery, а payment terms — на cash flow і leverage при disputes (§3). &lt;/Voice&gt;</w:t>
      </w:r>
    </w:p>
    <w:p>
      <w:pPr>
        <w:pStyle w:val="Heading2"/>
        <w:keepNext/>
        <w:spacing w:after="180" w:before="360"/>
      </w:pPr>
      <w:r>
        <w:t xml:space="preserve">2. Scope of Services</w:t>
      </w:r>
    </w:p>
    <w:p>
      <w:pPr>
        <w:spacing w:after="180"/>
        <w:jc w:val="both"/>
      </w:pPr>
      <w:r>
        <w:t xml:space="preserve">The Contractor shall provide the Services as described in Attachment A (Rate Sheet) and any subsequent Statements of Work agreed in writing. The Customer directs the work through a designated point of contact.</w:t>
      </w:r>
    </w:p>
    <w:p>
      <w:pPr>
        <w:spacing w:after="180"/>
        <w:jc w:val="both"/>
      </w:pPr>
      <w:r>
        <w:t xml:space="preserve">Services are provided on an </w:t>
      </w:r>
      <w:r>
        <w:rPr>
          <w:b/>
          <w:bCs/>
        </w:rPr>
        <w:t xml:space="preserve">effort basis</w:t>
      </w:r>
      <w:r>
        <w:t xml:space="preserve"> — the Contractor commits to providing qualified personnel and reasonable diligence, but does not guarantee specific outcomes or deliverables unless separately agreed in a Statement of Work.</w:t>
      </w:r>
    </w:p>
    <w:p>
      <w:pPr>
        <w:spacing w:after="180"/>
        <w:jc w:val="both"/>
      </w:pPr>
      <w:r>
        <w:t xml:space="preserve">Effort basis — ключова відмінність T&amp;M від fixed-price. Ми продаємо час кваліфікованих людей, а не результат. Це знижує наш ризик, але клієнти іноді намагаються вписати deliverable commitments у SoW. Слідкуйте, щоб SoW не перетворив T&amp;M на замаскований fixed-price. &lt;/Voice&gt;</w:t>
      </w:r>
    </w:p>
    <w:p>
      <w:pPr>
        <w:spacing w:after="180"/>
        <w:jc w:val="both"/>
      </w:pPr>
      <w:r>
        <w:t xml:space="preserve">Клієнти часто хочуть «T&amp;M з гарантією результату». Пояснюйте: effort basis означає, що ми гарантуємо кваліфікацію і diligence, а не конкретні deliverables. Якщо клієнту потрібні гарантії результату — пропонуйте окремий fixed-price SoW на конкретний scope. &lt;/Voice&gt;</w:t>
      </w:r>
    </w:p>
    <w:p>
      <w:pPr>
        <w:spacing w:after="180"/>
        <w:jc w:val="both"/>
      </w:pPr>
      <w:r>
        <w:t xml:space="preserve">Designated point of contact з боку клієнта — критично. Без чіткого PoC команда отримує суперечливі вказівки від різних stakeholders, що веде до перевитрати годин і disputed invoices. &lt;/Voice&gt;</w:t>
      </w:r>
    </w:p>
    <w:p>
      <w:pPr>
        <w:pStyle w:val="Heading2"/>
        <w:keepNext/>
        <w:spacing w:after="180" w:before="360"/>
      </w:pPr>
      <w:r>
        <w:t xml:space="preserve">3. Payments</w:t>
      </w:r>
    </w:p>
    <w:p>
      <w:pPr>
        <w:spacing w:after="180"/>
        <w:jc w:val="both"/>
      </w:pPr>
      <w:r>
        <w:rPr>
          <w:b/>
          <w:bCs/>
        </w:rPr>
        <w:t xml:space="preserve">Reimbursable Expenses.</w:t>
      </w:r>
      <w:r>
        <w:t xml:space="preserve"> The Customer shall reimburse the Contractor for reasonable, pre-approved expenses incurred in connection with the Services. Expenses exceeding </w:t>
      </w:r>
      <w:r>
        <w:rPr>
          <w:b/>
          <w:bCs/>
        </w:rPr>
        <w:t xml:space="preserve">€500</w:t>
      </w:r>
      <w:r>
        <w:t xml:space="preserve"> per item require the Customer's prior written approval.</w:t>
      </w:r>
    </w:p>
    <w:p>
      <w:pPr>
        <w:spacing w:after="180"/>
        <w:jc w:val="both"/>
      </w:pPr>
      <w:r>
        <w:rPr>
          <w:b/>
          <w:bCs/>
        </w:rPr>
        <w:t xml:space="preserve">Categories.</w:t>
      </w:r>
      <w:r>
        <w:t xml:space="preserve"> Typical reimbursable expenses include:</w:t>
      </w:r>
    </w:p>
    <w:p>
      <w:pPr>
        <w:pStyle w:val="ListParagraph"/>
        <w:numPr>
          <w:ilvl w:val="0"/>
          <w:numId w:val="1"/>
        </w:numPr>
        <w:spacing w:after="60"/>
      </w:pPr>
      <w:r>
        <w:t xml:space="preserve">Travel and accommodation (pre-approved business trips only)</w:t>
      </w:r>
    </w:p>
    <w:p>
      <w:pPr>
        <w:pStyle w:val="ListParagraph"/>
        <w:numPr>
          <w:ilvl w:val="0"/>
          <w:numId w:val="1"/>
        </w:numPr>
        <w:spacing w:after="60"/>
      </w:pPr>
      <w:r>
        <w:t xml:space="preserve">Software licenses and cloud infrastructure costs incurred</w:t>
      </w:r>
    </w:p>
    <w:p>
      <w:pPr>
        <w:spacing w:after="180"/>
        <w:jc w:val="both"/>
      </w:pPr>
      <w:r>
        <w:t xml:space="preserve">specifically for the Customer's project</w:t>
      </w:r>
    </w:p>
    <w:p>
      <w:pPr>
        <w:pStyle w:val="ListParagraph"/>
        <w:numPr>
          <w:ilvl w:val="0"/>
          <w:numId w:val="1"/>
        </w:numPr>
        <w:spacing w:after="60"/>
      </w:pPr>
      <w:r>
        <w:t xml:space="preserve">Hardware purchased at the Customer's request</w:t>
      </w:r>
    </w:p>
    <w:p>
      <w:pPr>
        <w:pStyle w:val="ListParagraph"/>
        <w:numPr>
          <w:ilvl w:val="0"/>
          <w:numId w:val="1"/>
        </w:numPr>
        <w:spacing w:after="60"/>
      </w:pPr>
      <w:r>
        <w:t xml:space="preserve">Third-party services engaged with the Customer's approval</w:t>
      </w:r>
    </w:p>
    <w:p>
      <w:pPr>
        <w:spacing w:after="180"/>
        <w:jc w:val="both"/>
      </w:pPr>
      <w:r>
        <w:rPr>
          <w:b/>
          <w:bCs/>
        </w:rPr>
        <w:t xml:space="preserve">Documentation.</w:t>
      </w:r>
      <w:r>
        <w:t xml:space="preserve"> The Contractor shall submit expense reports monthly, accompanied by original receipts or equivalent documentation. Expense reports are due within </w:t>
      </w:r>
      <w:r>
        <w:rPr>
          <w:b/>
          <w:bCs/>
        </w:rPr>
        <w:t xml:space="preserve">ten (10) business days</w:t>
      </w:r>
      <w:r>
        <w:t xml:space="preserve"> of the end of each calendar month.</w:t>
      </w:r>
    </w:p>
    <w:p>
      <w:pPr>
        <w:spacing w:after="180"/>
        <w:jc w:val="both"/>
      </w:pPr>
      <w:r>
        <w:rPr>
          <w:b/>
          <w:bCs/>
        </w:rPr>
        <w:t xml:space="preserve">Payment.</w:t>
      </w:r>
      <w:r>
        <w:t xml:space="preserve"> Approved expenses are included in the next regular invoice and are subject to the same payment terms as service fees.</w:t>
      </w:r>
    </w:p>
    <w:p>
      <w:pPr>
        <w:spacing w:after="180"/>
        <w:jc w:val="both"/>
      </w:pPr>
      <w:r>
        <w:rPr>
          <w:b/>
          <w:bCs/>
        </w:rPr>
        <w:t xml:space="preserve">Non-Reimbursable.</w:t>
      </w:r>
      <w:r>
        <w:t xml:space="preserve"> The following are not reimbursable unless explicitly agreed in writing:</w:t>
      </w:r>
    </w:p>
    <w:p>
      <w:pPr>
        <w:pStyle w:val="ListParagraph"/>
        <w:numPr>
          <w:ilvl w:val="0"/>
          <w:numId w:val="1"/>
        </w:numPr>
        <w:spacing w:after="60"/>
      </w:pPr>
      <w:r>
        <w:t xml:space="preserve">General overhead (office space, utilities, internet)</w:t>
      </w:r>
    </w:p>
    <w:p>
      <w:pPr>
        <w:pStyle w:val="ListParagraph"/>
        <w:numPr>
          <w:ilvl w:val="0"/>
          <w:numId w:val="1"/>
        </w:numPr>
        <w:spacing w:after="60"/>
      </w:pPr>
      <w:r>
        <w:t xml:space="preserve">Internal training and professional development</w:t>
      </w:r>
    </w:p>
    <w:p>
      <w:pPr>
        <w:pStyle w:val="ListParagraph"/>
        <w:numPr>
          <w:ilvl w:val="0"/>
          <w:numId w:val="1"/>
        </w:numPr>
        <w:spacing w:after="60"/>
      </w:pPr>
      <w:r>
        <w:t xml:space="preserve">Equipment used across multiple clients</w:t>
      </w:r>
    </w:p>
    <w:p>
      <w:pPr>
        <w:pStyle w:val="ListParagraph"/>
        <w:numPr>
          <w:ilvl w:val="0"/>
          <w:numId w:val="1"/>
        </w:numPr>
        <w:spacing w:after="60"/>
      </w:pPr>
      <w:r>
        <w:t xml:space="preserve">Penalties, fines, or charges resulting from the Contractor's</w:t>
      </w:r>
    </w:p>
    <w:p>
      <w:pPr>
        <w:spacing w:after="180"/>
        <w:jc w:val="both"/>
      </w:pPr>
      <w:r>
        <w:t xml:space="preserve">negligence</w:t>
      </w:r>
    </w:p>
    <w:p>
      <w:pPr>
        <w:pStyle w:val="Heading2"/>
        <w:keepNext/>
        <w:spacing w:after="180" w:before="360"/>
      </w:pPr>
      <w:r>
        <w:t xml:space="preserve">How this clause works in practice</w:t>
      </w:r>
    </w:p>
    <w:p>
      <w:pPr>
        <w:spacing w:after="180"/>
        <w:jc w:val="both"/>
      </w:pPr>
      <w:r>
        <w:t xml:space="preserve">Expense reimbursement is clean in theory but messy in execution. The €500 pre-approval threshold is calibrated to catch significant costs (flights, licenses) without creating friction on small ones (a €30 domain registration).</w:t>
      </w:r>
    </w:p>
    <w:p>
      <w:pPr>
        <w:spacing w:after="180"/>
        <w:jc w:val="both"/>
      </w:pPr>
      <w:r>
        <w:t xml:space="preserve">Monthly reconciliation prevents the "surprise invoice six months later" problem — expenses are current and auditable.</w:t>
      </w:r>
    </w:p>
    <w:p>
      <w:pPr>
        <w:pStyle w:val="Heading2"/>
        <w:keepNext/>
        <w:spacing w:after="180" w:before="360"/>
      </w:pPr>
      <w:r>
        <w:t xml:space="preserve">Where this clause appears</w:t>
      </w:r>
    </w:p>
    <w:p>
      <w:pPr>
        <w:pStyle w:val="ListParagraph"/>
        <w:numPr>
          <w:ilvl w:val="0"/>
          <w:numId w:val="1"/>
        </w:numPr>
        <w:spacing w:after="60"/>
      </w:pPr>
      <w:r>
        <w:t xml:space="preserve">Time &amp; Materials — the primary consumer</w:t>
      </w:r>
    </w:p>
    <w:p>
      <w:pPr>
        <w:pStyle w:val="ListParagraph"/>
        <w:numPr>
          <w:ilvl w:val="0"/>
          <w:numId w:val="1"/>
        </w:numPr>
        <w:spacing w:after="60"/>
      </w:pPr>
      <w:r>
        <w:t xml:space="preserve">Not used in fixed-price (expenses are baked into the project fee)</w:t>
      </w:r>
    </w:p>
    <w:p>
      <w:pPr>
        <w:pStyle w:val="ListParagraph"/>
        <w:numPr>
          <w:ilvl w:val="0"/>
          <w:numId w:val="1"/>
        </w:numPr>
        <w:spacing w:after="60"/>
      </w:pPr>
      <w:r>
        <w:t xml:space="preserve">Not used in dedicated team (expenses are part of the retainer)</w:t>
      </w:r>
    </w:p>
    <w:p>
      <w:pPr>
        <w:spacing w:after="180"/>
        <w:jc w:val="both"/>
      </w:pPr>
      <w:r>
        <w:t xml:space="preserve">Поріг €500 на витрати без попереднього погодження — зазвичай приймається клієнтами без дискусій. Деякі enterprise-клієнти хочуть знизити до €200-300. Не варто воювати за цю суму — погоджуйтесь, якщо це розблоковує підписання. &lt;/Voice&gt;</w:t>
      </w:r>
    </w:p>
    <w:p>
      <w:pPr>
        <w:spacing w:after="180"/>
        <w:jc w:val="both"/>
      </w:pPr>
      <w:r>
        <w:t xml:space="preserve">Якщо клієнт тисне на зниження порогу — trade-off: погоджуйтесь на €250, але вимагайте спрощену процедуру погодження (email замість formal approval process). &lt;/Voice&gt;</w:t>
      </w:r>
    </w:p>
    <w:p>
      <w:pPr>
        <w:spacing w:after="180"/>
        <w:jc w:val="both"/>
      </w:pPr>
      <w:r>
        <w:rPr>
          <w:b/>
          <w:bCs/>
        </w:rPr>
        <w:t xml:space="preserve">Payment Dispute.</w:t>
      </w:r>
      <w:r>
        <w:t xml:space="preserve"> If any amount claimed as payable is disputed in good faith, the </w:t>
      </w:r>
      <w:r>
        <w:rPr>
          <w:b/>
          <w:bCs/>
        </w:rPr>
        <w:t xml:space="preserve">Customer</w:t>
      </w:r>
      <w:r>
        <w:t xml:space="preserve"> shall pay the undisputed portion and give a </w:t>
      </w:r>
      <w:r>
        <w:rPr>
          <w:b/>
          <w:bCs/>
        </w:rPr>
        <w:t xml:space="preserve">5 business days</w:t>
      </w:r>
      <w:r>
        <w:t xml:space="preserve"> notice specifying the basis of the dispute in reasonable detail.</w:t>
      </w:r>
    </w:p>
    <w:p>
      <w:pPr>
        <w:spacing w:after="180"/>
        <w:jc w:val="both"/>
      </w:pPr>
      <w:r>
        <w:t xml:space="preserve">Payments that are undisputed by the Customer within 5 business days of receipt are considered accepted.</w:t>
      </w:r>
    </w:p>
    <w:p>
      <w:pPr>
        <w:spacing w:after="180"/>
        <w:jc w:val="both"/>
      </w:pPr>
      <w:r>
        <w:t xml:space="preserve">Payment dispute у T&amp;M — частіше ніж у fixed-price, бо клієнт може оспорити конкретні години. Процес «оспорюй → плати неоспорену частину → 5 днів на вирішення» захищає від тактики «заморожую весь інвойс через 2 години QA». &lt;/Voice&gt;</w:t>
      </w:r>
    </w:p>
    <w:p>
      <w:pPr>
        <w:spacing w:after="180"/>
        <w:jc w:val="both"/>
      </w:pPr>
      <w:r>
        <w:t xml:space="preserve">Найкращий захист від payment disputes — granular time reports. Якщо клієнт бачить «8 годин — розробка», він оспорить. Якщо бачить «3h — API integration, 2h — bug fix JIRA-1234, 3h — code review PR#89» — запитань набагато менше. Інвестуйте у якість time tracking. &lt;/Voice&gt;</w:t>
      </w:r>
    </w:p>
    <w:p>
      <w:pPr>
        <w:spacing w:after="180"/>
        <w:jc w:val="both"/>
      </w:pPr>
      <w:r>
        <w:rPr>
          <w:b/>
          <w:bCs/>
        </w:rPr>
        <w:t xml:space="preserve">Late Payments.</w:t>
      </w:r>
      <w:r>
        <w:t xml:space="preserve"> If the Customer does not pay invoices when due, interest on the unpaid amounts of </w:t>
      </w:r>
      <w:r>
        <w:rPr>
          <w:b/>
          <w:bCs/>
        </w:rPr>
        <w:t xml:space="preserve">0.5% per calendar day</w:t>
      </w:r>
      <w:r>
        <w:t xml:space="preserve"> will be charged starting the day after the payment becomes due.</w:t>
      </w:r>
    </w:p>
    <w:p>
      <w:pPr>
        <w:pStyle w:val="Heading2"/>
        <w:keepNext/>
        <w:spacing w:after="180" w:before="360"/>
      </w:pPr>
      <w:r>
        <w:t xml:space="preserve">How this clause works in practice</w:t>
      </w:r>
    </w:p>
    <w:p>
      <w:pPr>
        <w:spacing w:after="180"/>
        <w:jc w:val="both"/>
      </w:pPr>
      <w:r>
        <w:t xml:space="preserve">Defensive mechanism for two reasons:</w:t>
      </w:r>
    </w:p>
    <w:p>
      <w:pPr>
        <w:pStyle w:val="ListParagraph"/>
        <w:numPr>
          <w:ilvl w:val="0"/>
          <w:numId w:val="2"/>
        </w:numPr>
        <w:spacing w:after="60"/>
      </w:pPr>
      <w:r>
        <w:rPr>
          <w:b/>
          <w:bCs/>
        </w:rPr>
        <w:t xml:space="preserve">Psychological pressure.</w:t>
      </w:r>
      <w:r>
        <w:t xml:space="preserve"> 0.5%/day ≈ 180% annualized. Client</w:t>
      </w:r>
    </w:p>
    <w:p>
      <w:pPr>
        <w:spacing w:after="180"/>
        <w:jc w:val="both"/>
      </w:pPr>
      <w:r>
        <w:t xml:space="preserve">finance teams notice this number and bump our invoices up the payment queue.</w:t>
      </w:r>
    </w:p>
    <w:p>
      <w:pPr>
        <w:pStyle w:val="ListParagraph"/>
        <w:numPr>
          <w:ilvl w:val="0"/>
          <w:numId w:val="2"/>
        </w:numPr>
        <w:spacing w:after="60"/>
      </w:pPr>
      <w:r>
        <w:rPr>
          <w:b/>
          <w:bCs/>
        </w:rPr>
        <w:t xml:space="preserve">Legal footing.</w:t>
      </w:r>
      <w:r>
        <w:t xml:space="preserve"> If collection escalates to court, we have</w:t>
      </w:r>
    </w:p>
    <w:p>
      <w:pPr>
        <w:spacing w:after="180"/>
        <w:jc w:val="both"/>
      </w:pPr>
      <w:r>
        <w:t xml:space="preserve">a clean contractual basis for including interest in the claim, without renegotiation.</w:t>
      </w:r>
    </w:p>
    <w:p>
      <w:pPr>
        <w:spacing w:after="180"/>
        <w:jc w:val="both"/>
      </w:pPr>
      <w:r>
        <w:t xml:space="preserve">Payment dispute → late interest — дворівнева система. Спочатку справедливий процес (dispute), потім фінансовий тиск (interest). У T&amp;M ця зв'язка критичніша, ніж у fixed-price: клієнт може «оспорювати» кожен інвойс, щоб відтягнути оплату. Interest clause робить цю тактику дорогою. &lt;/Voice&gt;</w:t>
      </w:r>
    </w:p>
    <w:p>
      <w:pPr>
        <w:spacing w:after="180"/>
        <w:jc w:val="both"/>
      </w:pPr>
      <w:r>
        <w:t xml:space="preserve">На практиці late interest використовується рідко. Головна цінність — психологічна: фінансові відділи клієнтів бачать 0.5%/день і пересувають наш інвойс вгору черги. Не погрожуйте interest на дрібних затримках (5-10 днів) — це псує стосунки. &lt;/Voice&gt;</w:t>
      </w:r>
    </w:p>
    <w:p>
      <w:pPr>
        <w:pStyle w:val="Heading2"/>
        <w:keepNext/>
        <w:spacing w:after="180" w:before="360"/>
      </w:pPr>
      <w:r>
        <w:t xml:space="preserve">4. Deliverables and Intellectual Property</w:t>
      </w:r>
    </w:p>
    <w:p>
      <w:pPr>
        <w:spacing w:after="180"/>
        <w:jc w:val="both"/>
      </w:pPr>
      <w:r>
        <w:rPr>
          <w:b/>
          <w:bCs/>
        </w:rPr>
        <w:t xml:space="preserve">Final Works.</w:t>
      </w:r>
      <w:r>
        <w:t xml:space="preserve"> The Contractor transfers to the Customer all intellectual property rights (IP rights) in all materials developed for or provided to the Customer by the Contractor through the performance of Services (Deliverables), </w:t>
      </w:r>
      <w:r>
        <w:rPr>
          <w:b/>
          <w:bCs/>
        </w:rPr>
        <w:t xml:space="preserve">as necessary payments are made</w:t>
      </w:r>
      <w:r>
        <w:t xml:space="preserve"> during the agreement. If the agreement is terminated, the Contractor shall transfer all finished and unfinished Deliverables previously paid for.</w:t>
      </w:r>
    </w:p>
    <w:p>
      <w:pPr>
        <w:spacing w:after="180"/>
        <w:jc w:val="both"/>
      </w:pPr>
      <w:r>
        <w:rPr>
          <w:b/>
          <w:bCs/>
        </w:rPr>
        <w:t xml:space="preserve">No copyleft licenses.</w:t>
      </w:r>
      <w:r>
        <w:t xml:space="preserve"> The Contractor warrants that it has not included or used, and will not include or use, any Open-Source Software or any libraries or code licensed under the General Public License, AGPL, or any similar copyleft license in the Software, where such license would require the Customer to license the Software onwards or otherwise make it available to others, without the Customer's prior written consent.</w:t>
      </w:r>
    </w:p>
    <w:p>
      <w:pPr>
        <w:pStyle w:val="Heading2"/>
        <w:keepNext/>
        <w:spacing w:after="180" w:before="360"/>
      </w:pPr>
      <w:r>
        <w:t xml:space="preserve">How this works in practice</w:t>
      </w:r>
    </w:p>
    <w:p>
      <w:pPr>
        <w:spacing w:after="180"/>
        <w:jc w:val="both"/>
      </w:pPr>
      <w:r>
        <w:t xml:space="preserve">Three principled differences from the subcontract version:</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Aspect</w:t>
            </w:r>
          </w:p>
        </w:tc>
        <w:tc>
          <w:tcPr>
            <w:tcW w:type="pct" w:w="50%"/>
            <w:shd w:fill="EEE9D4" w:val="clear"/>
            <w:tcMar>
              <w:top w:type="dxa" w:w="80"/>
              <w:left w:type="dxa" w:w="120"/>
              <w:bottom w:type="dxa" w:w="80"/>
              <w:right w:type="dxa" w:w="120"/>
            </w:tcMar>
          </w:tcPr>
          <w:p>
            <w:pPr>
              <w:spacing w:after="60" w:before="60"/>
            </w:pPr>
            <w:r>
              <w:rPr>
                <w:b/>
                <w:bCs/>
                <w:sz w:val="20"/>
                <w:szCs w:val="20"/>
              </w:rPr>
              <w:t xml:space="preserve">Subcontract (Dev)</w:t>
            </w:r>
          </w:p>
        </w:tc>
        <w:tc>
          <w:tcPr>
            <w:tcW w:type="pct" w:w="50%"/>
            <w:shd w:fill="EEE9D4" w:val="clear"/>
            <w:tcMar>
              <w:top w:type="dxa" w:w="80"/>
              <w:left w:type="dxa" w:w="120"/>
              <w:bottom w:type="dxa" w:w="80"/>
              <w:right w:type="dxa" w:w="120"/>
            </w:tcMar>
          </w:tcPr>
          <w:p>
            <w:pPr>
              <w:spacing w:after="60" w:before="60"/>
            </w:pPr>
            <w:r>
              <w:rPr>
                <w:b/>
                <w:bCs/>
                <w:sz w:val="20"/>
                <w:szCs w:val="20"/>
              </w:rPr>
              <w:t xml:space="preserve">Services Agreement</w:t>
            </w:r>
          </w:p>
        </w:tc>
      </w:tr>
      <w:tr>
        <w:tc>
          <w:tcPr>
            <w:tcW w:type="pct" w:w="50%"/>
            <w:tcMar>
              <w:top w:type="dxa" w:w="80"/>
              <w:left w:type="dxa" w:w="120"/>
              <w:bottom w:type="dxa" w:w="80"/>
              <w:right w:type="dxa" w:w="120"/>
            </w:tcMar>
          </w:tcPr>
          <w:p>
            <w:pPr>
              <w:spacing w:after="60" w:before="60"/>
            </w:pPr>
            <w:r>
              <w:rPr>
                <w:b w:val="false"/>
                <w:bCs w:val="false"/>
                <w:sz w:val="20"/>
                <w:szCs w:val="20"/>
              </w:rPr>
              <w:t xml:space="preserve">Direction</w:t>
            </w:r>
          </w:p>
        </w:tc>
        <w:tc>
          <w:tcPr>
            <w:tcW w:type="pct" w:w="50%"/>
            <w:tcMar>
              <w:top w:type="dxa" w:w="80"/>
              <w:left w:type="dxa" w:w="120"/>
              <w:bottom w:type="dxa" w:w="80"/>
              <w:right w:type="dxa" w:w="120"/>
            </w:tcMar>
          </w:tcPr>
          <w:p>
            <w:pPr>
              <w:spacing w:after="60" w:before="60"/>
            </w:pPr>
            <w:r>
              <w:rPr>
                <w:b w:val="false"/>
                <w:bCs w:val="false"/>
                <w:sz w:val="20"/>
                <w:szCs w:val="20"/>
              </w:rPr>
              <w:t xml:space="preserve">Subcontractor → Contractor</w:t>
            </w:r>
          </w:p>
        </w:tc>
        <w:tc>
          <w:tcPr>
            <w:tcW w:type="pct" w:w="50%"/>
            <w:tcMar>
              <w:top w:type="dxa" w:w="80"/>
              <w:left w:type="dxa" w:w="120"/>
              <w:bottom w:type="dxa" w:w="80"/>
              <w:right w:type="dxa" w:w="120"/>
            </w:tcMar>
          </w:tcPr>
          <w:p>
            <w:pPr>
              <w:spacing w:after="60" w:before="60"/>
            </w:pPr>
            <w:r>
              <w:rPr>
                <w:b w:val="false"/>
                <w:bCs w:val="false"/>
                <w:sz w:val="20"/>
                <w:szCs w:val="20"/>
              </w:rPr>
              <w:t xml:space="preserve">Contractor → Customer</w:t>
            </w:r>
          </w:p>
        </w:tc>
      </w:tr>
      <w:tr>
        <w:tc>
          <w:tcPr>
            <w:tcW w:type="pct" w:w="50%"/>
            <w:tcMar>
              <w:top w:type="dxa" w:w="80"/>
              <w:left w:type="dxa" w:w="120"/>
              <w:bottom w:type="dxa" w:w="80"/>
              <w:right w:type="dxa" w:w="120"/>
            </w:tcMar>
          </w:tcPr>
          <w:p>
            <w:pPr>
              <w:spacing w:after="60" w:before="60"/>
            </w:pPr>
            <w:r>
              <w:rPr>
                <w:b w:val="false"/>
                <w:bCs w:val="false"/>
                <w:sz w:val="20"/>
                <w:szCs w:val="20"/>
              </w:rPr>
              <w:t xml:space="preserve">Transfer timing</w:t>
            </w:r>
          </w:p>
        </w:tc>
        <w:tc>
          <w:tcPr>
            <w:tcW w:type="pct" w:w="50%"/>
            <w:tcMar>
              <w:top w:type="dxa" w:w="80"/>
              <w:left w:type="dxa" w:w="120"/>
              <w:bottom w:type="dxa" w:w="80"/>
              <w:right w:type="dxa" w:w="120"/>
            </w:tcMar>
          </w:tcPr>
          <w:p>
            <w:pPr>
              <w:spacing w:after="60" w:before="60"/>
            </w:pPr>
            <w:r>
              <w:rPr>
                <w:b w:val="false"/>
                <w:bCs w:val="false"/>
                <w:sz w:val="20"/>
                <w:szCs w:val="20"/>
              </w:rPr>
              <w:t xml:space="preserve">Exclusively after full payment of all fees</w:t>
            </w:r>
          </w:p>
        </w:tc>
        <w:tc>
          <w:tcPr>
            <w:tcW w:type="pct" w:w="50%"/>
            <w:tcMar>
              <w:top w:type="dxa" w:w="80"/>
              <w:left w:type="dxa" w:w="120"/>
              <w:bottom w:type="dxa" w:w="80"/>
              <w:right w:type="dxa" w:w="120"/>
            </w:tcMar>
          </w:tcPr>
          <w:p>
            <w:pPr>
              <w:spacing w:after="60" w:before="60"/>
            </w:pPr>
            <w:r>
              <w:rPr>
                <w:b w:val="false"/>
                <w:bCs w:val="false"/>
                <w:sz w:val="20"/>
                <w:szCs w:val="20"/>
              </w:rPr>
              <w:t xml:space="preserve">Rolling, as payments are made</w:t>
            </w:r>
          </w:p>
        </w:tc>
      </w:tr>
      <w:tr>
        <w:tc>
          <w:tcPr>
            <w:tcW w:type="pct" w:w="50%"/>
            <w:tcMar>
              <w:top w:type="dxa" w:w="80"/>
              <w:left w:type="dxa" w:w="120"/>
              <w:bottom w:type="dxa" w:w="80"/>
              <w:right w:type="dxa" w:w="120"/>
            </w:tcMar>
          </w:tcPr>
          <w:p>
            <w:pPr>
              <w:spacing w:after="60" w:before="60"/>
            </w:pPr>
            <w:r>
              <w:rPr>
                <w:b w:val="false"/>
                <w:bCs w:val="false"/>
                <w:sz w:val="20"/>
                <w:szCs w:val="20"/>
              </w:rPr>
              <w:t xml:space="preserve">On termination</w:t>
            </w:r>
          </w:p>
        </w:tc>
        <w:tc>
          <w:tcPr>
            <w:tcW w:type="pct" w:w="50%"/>
            <w:tcMar>
              <w:top w:type="dxa" w:w="80"/>
              <w:left w:type="dxa" w:w="120"/>
              <w:bottom w:type="dxa" w:w="80"/>
              <w:right w:type="dxa" w:w="120"/>
            </w:tcMar>
          </w:tcPr>
          <w:p>
            <w:pPr>
              <w:spacing w:after="60" w:before="60"/>
            </w:pPr>
            <w:r>
              <w:rPr>
                <w:b w:val="false"/>
                <w:bCs w:val="false"/>
                <w:sz w:val="20"/>
                <w:szCs w:val="20"/>
              </w:rPr>
              <w:t xml:space="preserve">—</w:t>
            </w:r>
          </w:p>
        </w:tc>
        <w:tc>
          <w:tcPr>
            <w:tcW w:type="pct" w:w="50%"/>
            <w:tcMar>
              <w:top w:type="dxa" w:w="80"/>
              <w:left w:type="dxa" w:w="120"/>
              <w:bottom w:type="dxa" w:w="80"/>
              <w:right w:type="dxa" w:w="120"/>
            </w:tcMar>
          </w:tcPr>
          <w:p>
            <w:pPr>
              <w:spacing w:after="60" w:before="60"/>
            </w:pPr>
            <w:r>
              <w:rPr>
                <w:b w:val="false"/>
                <w:bCs w:val="false"/>
                <w:sz w:val="20"/>
                <w:szCs w:val="20"/>
              </w:rPr>
              <w:t xml:space="preserve">We transfer all paid-for work, including unfinished</w:t>
            </w:r>
          </w:p>
        </w:tc>
      </w:tr>
    </w:tbl>
    <w:p>
      <w:pPr>
        <w:spacing w:after="160" w:before="0"/>
      </w:pPr>
      <w:r>
        <w:t xml:space="preserve"/>
      </w:r>
    </w:p>
    <w:p>
      <w:pPr>
        <w:spacing w:after="180"/>
        <w:jc w:val="both"/>
      </w:pPr>
      <w:r>
        <w:rPr>
          <w:b/>
          <w:bCs/>
        </w:rPr>
        <w:t xml:space="preserve">Rolling IP transfer</w:t>
      </w:r>
      <w:r>
        <w:t xml:space="preserve"> is the important change. The client gets rights </w:t>
      </w:r>
      <w:r>
        <w:rPr>
          <w:b/>
          <w:bCs/>
        </w:rPr>
        <w:t xml:space="preserve">progressively as they pay</w:t>
      </w:r>
      <w:r>
        <w:t xml:space="preserve">, not "all or nothing after the last invoice." This protects the client if we stop working mid- project for any reason — they retain rights to what they paid for and can continue development with another contractor.</w:t>
      </w:r>
    </w:p>
    <w:p>
      <w:pPr>
        <w:spacing w:after="180"/>
        <w:jc w:val="both"/>
      </w:pPr>
      <w:r>
        <w:t xml:space="preserve">IP переходить до Клієнта </w:t>
      </w:r>
      <w:r>
        <w:rPr>
          <w:b/>
          <w:bCs/>
        </w:rPr>
        <w:t xml:space="preserve">тільки після повної оплати</w:t>
      </w:r>
      <w:r>
        <w:t xml:space="preserve">. У T&amp;M це особливо важливо: якщо клієнт затримує оплату за 3 місяці, він не має прав на код написаний за цей період. Це найсильніший leverage для вчасної оплати. &lt;/Voice&gt;</w:t>
      </w:r>
    </w:p>
    <w:p>
      <w:pPr>
        <w:spacing w:after="180"/>
        <w:jc w:val="both"/>
      </w:pPr>
      <w:r>
        <w:t xml:space="preserve">Типовий redline клієнта: «IP має переходити при створенні, незалежно від оплати.» Наша відповідь: «Оплата — це trigger для передачі прав. Це стандарт індустрії і захищає обидві сторони.» Якщо клієнт наполягає — пропонуйте escrow або milestone-based transfer. &lt;/Voice&gt;</w:t>
      </w:r>
    </w:p>
    <w:p>
      <w:pPr>
        <w:spacing w:after="180"/>
        <w:jc w:val="both"/>
      </w:pPr>
      <w:r>
        <w:t xml:space="preserve">«Після повної оплати» означає саме це — не часткової, не scheduled payment. Весь борг по інвойсах має бути закритий. У T&amp;M це створює rolling IP transfer: кожен оплачений місяць = передача прав на роботу того місяця. &lt;/Voice&gt;</w:t>
      </w:r>
    </w:p>
    <w:p>
      <w:pPr>
        <w:spacing w:after="180"/>
        <w:jc w:val="both"/>
      </w:pPr>
      <w:r>
        <w:t xml:space="preserve">Переконайтесь, що команда не використовує GPL/AGPL бібліотеки без погодження з клієнтом. IP assignment не працює, якщо deliverables містять copyleft dependencies. &lt;/Voice&gt;</w:t>
      </w:r>
    </w:p>
    <w:p>
      <w:pPr>
        <w:pStyle w:val="Heading2"/>
        <w:keepNext/>
        <w:spacing w:after="180" w:before="360"/>
      </w:pPr>
      <w:r>
        <w:t xml:space="preserve">5. Term and Termination</w:t>
      </w:r>
    </w:p>
    <w:p>
      <w:pPr>
        <w:spacing w:after="180"/>
        <w:jc w:val="both"/>
      </w:pPr>
      <w:r>
        <w:rPr>
          <w:b/>
          <w:bCs/>
        </w:rPr>
        <w:t xml:space="preserve">Term.</w:t>
      </w:r>
      <w:r>
        <w:t xml:space="preserve"> This agreement takes effect on the Start date and continues until terminated by either party in accordance with the terms below.</w:t>
      </w:r>
    </w:p>
    <w:p>
      <w:pPr>
        <w:spacing w:after="180"/>
        <w:jc w:val="both"/>
      </w:pPr>
      <w:r>
        <w:rPr>
          <w:b/>
          <w:bCs/>
        </w:rPr>
        <w:t xml:space="preserve">At-will termination.</w:t>
      </w:r>
      <w:r>
        <w:t xml:space="preserve"> Either party may terminate this agreement at any time, without cause, by giving the other party </w:t>
      </w:r>
      <w:r>
        <w:rPr>
          <w:b/>
          <w:bCs/>
        </w:rPr>
        <w:t xml:space="preserve">30 calendar days</w:t>
      </w:r>
      <w:r>
        <w:t xml:space="preserve"> prior written notice.</w:t>
      </w:r>
    </w:p>
    <w:p>
      <w:pPr>
        <w:spacing w:after="180"/>
        <w:jc w:val="both"/>
      </w:pPr>
      <w:r>
        <w:rPr>
          <w:b/>
          <w:bCs/>
        </w:rPr>
        <w:t xml:space="preserve">Shortened notice.</w:t>
      </w:r>
      <w:r>
        <w:t xml:space="preserve"> After the initial 30-day notice period, the parties may move to </w:t>
      </w:r>
      <w:r>
        <w:rPr>
          <w:b/>
          <w:bCs/>
        </w:rPr>
        <w:t xml:space="preserve">14-day</w:t>
      </w:r>
      <w:r>
        <w:t xml:space="preserve"> notice for any further amendments or terminations within the scope of this agreement.</w:t>
      </w:r>
    </w:p>
    <w:p>
      <w:pPr>
        <w:spacing w:after="180"/>
        <w:jc w:val="both"/>
      </w:pPr>
      <w:r>
        <w:t xml:space="preserve">30 днів notice — мінімум для реалокації команди на інші проекти. У T&amp;M termination менш болючий ніж у fixed-price (немає незавершених milestones), але втрата стабільного щомісячного revenue потребує часу на заміщення. Для великих команд (5+ людей) тисніть на 45-60 днів notice. &lt;/Voice&gt;</w:t>
      </w:r>
    </w:p>
    <w:p>
      <w:pPr>
        <w:spacing w:after="180"/>
        <w:jc w:val="both"/>
      </w:pPr>
      <w:r>
        <w:t xml:space="preserve">Redline клієнта: «14 днів notice з першого дня.» Наша відповідь: «30 днів — це захист вашої ж команди. При 14 днях ми не зможемо забезпечити якісний knowledge transfer.» Trade-off: погоджуйтесь на 14 днів notice після 12+ місяців співпраці, коли відносини стабільні і re-staffing простіший. &lt;/Voice&gt;</w:t>
      </w:r>
    </w:p>
    <w:p>
      <w:pPr>
        <w:spacing w:after="180"/>
        <w:jc w:val="both"/>
      </w:pPr>
      <w:r>
        <w:t xml:space="preserve">При отриманні notice негайно починайте documentation sprint і knowledge transfer. 30 днів — це мало для повної передачі складного проекту. Тримайте документацію актуальною протягом усього engagement, а не тільки при termination. &lt;/Voice&gt;</w:t>
      </w:r>
    </w:p>
    <w:p>
      <w:pPr>
        <w:pStyle w:val="Heading2"/>
        <w:keepNext/>
        <w:spacing w:after="180" w:before="360"/>
      </w:pPr>
      <w:r>
        <w:t xml:space="preserve">6. Limitation of Liability and Indemnification</w:t>
      </w:r>
    </w:p>
    <w:p>
      <w:pPr>
        <w:spacing w:after="180"/>
        <w:jc w:val="both"/>
      </w:pPr>
      <w:r>
        <w:rPr>
          <w:b/>
          <w:bCs/>
        </w:rPr>
        <w:t xml:space="preserve">Mutual Indemnification.</w:t>
      </w:r>
      <w:r>
        <w:t xml:space="preserve"> Each party (as an indemnifying party) shall indemnify the other (as an indemnified party) against all losses arising out of:</w:t>
      </w:r>
    </w:p>
    <w:p>
      <w:pPr>
        <w:pStyle w:val="ListParagraph"/>
        <w:numPr>
          <w:ilvl w:val="0"/>
          <w:numId w:val="1"/>
        </w:numPr>
        <w:spacing w:after="60"/>
      </w:pPr>
      <w:r>
        <w:t xml:space="preserve">any proceeding brought by either a third party or an</w:t>
      </w:r>
    </w:p>
    <w:p>
      <w:pPr>
        <w:spacing w:after="180"/>
        <w:jc w:val="both"/>
      </w:pPr>
      <w:r>
        <w:t xml:space="preserve">indemnified party; and</w:t>
      </w:r>
    </w:p>
    <w:p>
      <w:pPr>
        <w:pStyle w:val="ListParagraph"/>
        <w:numPr>
          <w:ilvl w:val="0"/>
          <w:numId w:val="1"/>
        </w:numPr>
        <w:spacing w:after="60"/>
      </w:pPr>
      <w:r>
        <w:t xml:space="preserve">the indemnifying party's wilful misconduct or gross</w:t>
      </w:r>
    </w:p>
    <w:p>
      <w:pPr>
        <w:spacing w:after="180"/>
        <w:jc w:val="both"/>
      </w:pPr>
      <w:r>
        <w:t xml:space="preserve">negligence.</w:t>
      </w:r>
    </w:p>
    <w:p>
      <w:pPr>
        <w:spacing w:after="180"/>
        <w:jc w:val="both"/>
      </w:pPr>
      <w:r>
        <w:rPr>
          <w:b/>
          <w:bCs/>
        </w:rPr>
        <w:t xml:space="preserve">Mutual Limit on Liability.</w:t>
      </w:r>
      <w:r>
        <w:t xml:space="preserve"> Neither party shall be liable for breach-of-contract damages suffered by the other party that are remote or that could not have reasonably been foreseen on entry into this agreement.</w:t>
      </w:r>
    </w:p>
    <w:p>
      <w:pPr>
        <w:spacing w:after="180"/>
        <w:jc w:val="both"/>
      </w:pPr>
      <w:r>
        <w:rPr>
          <w:b/>
          <w:bCs/>
        </w:rPr>
        <w:t xml:space="preserve">Maximum Liability.</w:t>
      </w:r>
      <w:r>
        <w:t xml:space="preserve"> The Subcontractor's (or Contractor's in a client agreement) liability under this agreement shall not exceed the fees paid under this agreement during the </w:t>
      </w:r>
      <w:r>
        <w:rPr>
          <w:b/>
          <w:bCs/>
        </w:rPr>
        <w:t xml:space="preserve">12 months</w:t>
      </w:r>
      <w:r>
        <w:t xml:space="preserve"> preceding the date upon which the related claim arose.</w:t>
      </w:r>
    </w:p>
    <w:p>
      <w:pPr>
        <w:spacing w:after="180"/>
        <w:jc w:val="both"/>
      </w:pPr>
      <w:r>
        <w:t xml:space="preserve">Liability cap — найбільш обговорюваний пункт у будь-якому контракті. У T&amp;M специфіка: cap прив'язаний до fees paid за останні 12 місяців. При великих engagement (100k+/міс) клієнти вимагатимуть вищий cap або specific carve-outs для data breaches. &lt;/Voice&gt;</w:t>
      </w:r>
    </w:p>
    <w:p>
      <w:pPr>
        <w:spacing w:after="180"/>
        <w:jc w:val="both"/>
      </w:pPr>
      <w:r>
        <w:t xml:space="preserve">Liability — це де deals помирають. Не тому що сума нерозумна, а тому що юристи з обох сторін змагаються. Тримайте цей пункт на кінець переговорів — він вирішується легше, коли все інше вже погоджено і обидві сторони invested у закриття угоди. &lt;/Voice&gt;</w:t>
      </w:r>
    </w:p>
    <w:p>
      <w:pPr>
        <w:spacing w:after="180"/>
        <w:jc w:val="both"/>
      </w:pPr>
      <w:r>
        <w:t xml:space="preserve">Trade-off: якщо приймаєте ширші carve-outs (IP infringement, data breach) — вимагайте вищий cap або відповідні carve-outs з боку клієнта. Симетрія — ваш головний аргумент: «Mutual liability означає mutual cap. Якщо ви хочете unlimited liability від нас — ми хочемо те саме від вас.» &lt;/Voice&gt;</w:t>
      </w:r>
    </w:p>
    <w:p>
      <w:pPr>
        <w:pStyle w:val="Heading2"/>
        <w:keepNext/>
        <w:spacing w:after="180" w:before="360"/>
      </w:pPr>
      <w:r>
        <w:t xml:space="preserve">7. Effect of Termination</w:t>
      </w:r>
    </w:p>
    <w:p>
      <w:pPr>
        <w:spacing w:after="180"/>
        <w:jc w:val="both"/>
      </w:pPr>
      <w:r>
        <w:rPr>
          <w:b/>
          <w:bCs/>
        </w:rPr>
        <w:t xml:space="preserve">Payment Obligations.</w:t>
      </w:r>
      <w:r>
        <w:t xml:space="preserve"> Upon the expiration or termination of this agreement, each party shall pay any amounts it owes to the other party, including payment obligations for Services already rendered, or refund any payments received but not yet earned, including payments for Services not rendered.</w:t>
      </w:r>
    </w:p>
    <w:p>
      <w:pPr>
        <w:spacing w:after="180"/>
        <w:jc w:val="both"/>
      </w:pPr>
      <w:r>
        <w:rPr>
          <w:b/>
          <w:bCs/>
        </w:rPr>
        <w:t xml:space="preserve">Performer Obligations.</w:t>
      </w:r>
      <w:r>
        <w:t xml:space="preserve"> Upon receipt of notice of such termination, the Subcontractor (Subcontractor or Contractor, depending on the agreement type) shall promptly terminate all Services in progress, inform the principal of the extent to which performance has been completed, and deliver to the principal whatever Deliverables produced in the performance of the Services.</w:t>
      </w:r>
    </w:p>
    <w:p>
      <w:pPr>
        <w:spacing w:after="180"/>
        <w:jc w:val="both"/>
      </w:pPr>
      <w:r>
        <w:rPr>
          <w:b/>
          <w:bCs/>
        </w:rPr>
        <w:t xml:space="preserve">Survival.</w:t>
      </w:r>
      <w:r>
        <w:t xml:space="preserve"> Upon the termination of this agreement, the obligations of the Parties regarding </w:t>
      </w:r>
      <w:r>
        <w:rPr>
          <w:b/>
          <w:bCs/>
        </w:rPr>
        <w:t xml:space="preserve">intellectual property, confidentiality, non-solicitation and non-compete</w:t>
      </w:r>
      <w:r>
        <w:t xml:space="preserve"> shall survive.</w:t>
      </w:r>
    </w:p>
    <w:p>
      <w:pPr>
        <w:pStyle w:val="Heading2"/>
        <w:keepNext/>
        <w:spacing w:after="180" w:before="360"/>
      </w:pPr>
      <w:r>
        <w:t xml:space="preserve">Three separate obligations</w:t>
      </w:r>
    </w:p>
    <w:p>
      <w:pPr>
        <w:spacing w:after="180"/>
        <w:jc w:val="both"/>
      </w:pPr>
      <w:r>
        <w:t xml:space="preserve">This clause breaks into three independent duties:</w:t>
      </w:r>
    </w:p>
    <w:p>
      <w:pPr>
        <w:pStyle w:val="Heading3"/>
        <w:keepNext/>
        <w:spacing w:after="120" w:before="240"/>
      </w:pPr>
      <w:r>
        <w:t xml:space="preserve">1. Settlement (Payment Obligations)</w:t>
      </w:r>
    </w:p>
    <w:p>
      <w:pPr>
        <w:spacing w:after="180"/>
        <w:jc w:val="both"/>
      </w:pPr>
      <w:r>
        <w:t xml:space="preserve">"Who owes, pays. Who got too much, refunds." A symmetric rule that works in both directions:</w:t>
      </w:r>
    </w:p>
    <w:p>
      <w:pPr>
        <w:pStyle w:val="ListParagraph"/>
        <w:numPr>
          <w:ilvl w:val="0"/>
          <w:numId w:val="1"/>
        </w:numPr>
        <w:spacing w:after="60"/>
      </w:pPr>
      <w:r>
        <w:rPr>
          <w:b/>
          <w:bCs/>
        </w:rPr>
        <w:t xml:space="preserve">Our debt</w:t>
      </w:r>
      <w:r>
        <w:t xml:space="preserve"> — if we haven't paid for work done before</w:t>
      </w:r>
    </w:p>
    <w:p>
      <w:pPr>
        <w:spacing w:after="180"/>
        <w:jc w:val="both"/>
      </w:pPr>
      <w:r>
        <w:t xml:space="preserve">termination, we must settle.</w:t>
      </w:r>
    </w:p>
    <w:p>
      <w:pPr>
        <w:pStyle w:val="ListParagraph"/>
        <w:numPr>
          <w:ilvl w:val="0"/>
          <w:numId w:val="1"/>
        </w:numPr>
        <w:spacing w:after="60"/>
      </w:pPr>
      <w:r>
        <w:rPr>
          <w:b/>
          <w:bCs/>
        </w:rPr>
        <w:t xml:space="preserve">Their debt</w:t>
      </w:r>
      <w:r>
        <w:t xml:space="preserve"> — if we pre-paid for work not yet done, they</w:t>
      </w:r>
    </w:p>
    <w:p>
      <w:pPr>
        <w:spacing w:after="180"/>
        <w:jc w:val="both"/>
      </w:pPr>
      <w:r>
        <w:t xml:space="preserve">refund (or we agree to credit against future projects).</w:t>
      </w:r>
    </w:p>
    <w:p>
      <w:pPr>
        <w:pStyle w:val="Heading3"/>
        <w:keepNext/>
        <w:spacing w:after="120" w:before="240"/>
      </w:pPr>
      <w:r>
        <w:t xml:space="preserve">2. Handover (Performer obligations)</w:t>
      </w:r>
    </w:p>
    <w:p>
      <w:pPr>
        <w:spacing w:after="180"/>
        <w:jc w:val="both"/>
      </w:pPr>
      <w:r>
        <w:t xml:space="preserve">Immediate stop + status report + delivery. Three actions that must happen the day notice is received:</w:t>
      </w:r>
    </w:p>
    <w:p>
      <w:pPr>
        <w:pStyle w:val="ListParagraph"/>
        <w:numPr>
          <w:ilvl w:val="0"/>
          <w:numId w:val="1"/>
        </w:numPr>
        <w:spacing w:after="60"/>
      </w:pPr>
      <w:r>
        <w:rPr>
          <w:b/>
          <w:bCs/>
        </w:rPr>
        <w:t xml:space="preserve">Stop</w:t>
      </w:r>
      <w:r>
        <w:t xml:space="preserve"> — the performer takes on no new tasks</w:t>
      </w:r>
    </w:p>
    <w:p>
      <w:pPr>
        <w:pStyle w:val="ListParagraph"/>
        <w:numPr>
          <w:ilvl w:val="0"/>
          <w:numId w:val="1"/>
        </w:numPr>
        <w:spacing w:after="60"/>
      </w:pPr>
      <w:r>
        <w:rPr>
          <w:b/>
          <w:bCs/>
        </w:rPr>
        <w:t xml:space="preserve">Report</w:t>
      </w:r>
      <w:r>
        <w:t xml:space="preserve"> — what's done, what's in progress, what's not started</w:t>
      </w:r>
    </w:p>
    <w:p>
      <w:pPr>
        <w:pStyle w:val="ListParagraph"/>
        <w:numPr>
          <w:ilvl w:val="0"/>
          <w:numId w:val="1"/>
        </w:numPr>
        <w:spacing w:after="60"/>
      </w:pPr>
      <w:r>
        <w:rPr>
          <w:b/>
          <w:bCs/>
        </w:rPr>
        <w:t xml:space="preserve">Deliver</w:t>
      </w:r>
      <w:r>
        <w:t xml:space="preserve"> — all work product (code, docs, access) transfers</w:t>
      </w:r>
    </w:p>
    <w:p>
      <w:pPr>
        <w:spacing w:after="180"/>
        <w:jc w:val="both"/>
      </w:pPr>
      <w:r>
        <w:t xml:space="preserve">to the principal</w:t>
      </w:r>
    </w:p>
    <w:p>
      <w:pPr>
        <w:spacing w:after="180"/>
        <w:jc w:val="both"/>
      </w:pPr>
      <w:r>
        <w:t xml:space="preserve">If the performer ignores this clause, we have legal grounds to demand performance and to withhold the final payment until handover is complete.</w:t>
      </w:r>
    </w:p>
    <w:p>
      <w:pPr>
        <w:pStyle w:val="Heading3"/>
        <w:keepNext/>
        <w:spacing w:after="120" w:before="240"/>
      </w:pPr>
      <w:r>
        <w:t xml:space="preserve">3. Survival</w:t>
      </w:r>
    </w:p>
    <w:p>
      <w:pPr>
        <w:spacing w:after="180"/>
        <w:jc w:val="both"/>
      </w:pPr>
      <w:r>
        <w:t xml:space="preserve">What stays in force after the agreement ends:</w:t>
      </w:r>
    </w:p>
    <w:p>
      <w:pPr>
        <w:pStyle w:val="ListParagraph"/>
        <w:numPr>
          <w:ilvl w:val="0"/>
          <w:numId w:val="1"/>
        </w:numPr>
        <w:spacing w:after="60"/>
      </w:pPr>
      <w:r>
        <w:rPr>
          <w:b/>
          <w:bCs/>
        </w:rPr>
        <w:t xml:space="preserve">IP</w:t>
      </w:r>
      <w:r>
        <w:t xml:space="preserve"> — rights to delivered Deliverables remain with the</w:t>
      </w:r>
    </w:p>
    <w:p>
      <w:pPr>
        <w:spacing w:after="180"/>
        <w:jc w:val="both"/>
      </w:pPr>
      <w:r>
        <w:t xml:space="preserve">principal</w:t>
      </w:r>
    </w:p>
    <w:p>
      <w:pPr>
        <w:pStyle w:val="ListParagraph"/>
        <w:numPr>
          <w:ilvl w:val="0"/>
          <w:numId w:val="1"/>
        </w:numPr>
        <w:spacing w:after="60"/>
      </w:pPr>
      <w:r>
        <w:rPr>
          <w:b/>
          <w:bCs/>
        </w:rPr>
        <w:t xml:space="preserve">Confidentiality</w:t>
      </w:r>
      <w:r>
        <w:t xml:space="preserve"> — anything disclosed remains confidential</w:t>
      </w:r>
    </w:p>
    <w:p>
      <w:pPr>
        <w:spacing w:after="180"/>
        <w:jc w:val="both"/>
      </w:pPr>
      <w:r>
        <w:t xml:space="preserve">(per Mutual Confidentiality terms)</w:t>
      </w:r>
    </w:p>
    <w:p>
      <w:pPr>
        <w:pStyle w:val="ListParagraph"/>
        <w:numPr>
          <w:ilvl w:val="0"/>
          <w:numId w:val="1"/>
        </w:numPr>
        <w:spacing w:after="60"/>
      </w:pPr>
      <w:r>
        <w:rPr>
          <w:b/>
          <w:bCs/>
        </w:rPr>
        <w:t xml:space="preserve">Non-solicitation</w:t>
      </w:r>
      <w:r>
        <w:t xml:space="preserve"> — 1 year in subcontracts runs from Start</w:t>
      </w:r>
    </w:p>
    <w:p>
      <w:pPr>
        <w:spacing w:after="180"/>
        <w:jc w:val="both"/>
      </w:pPr>
      <w:r>
        <w:t xml:space="preserve">date, not from termination</w:t>
      </w:r>
    </w:p>
    <w:p>
      <w:pPr>
        <w:pStyle w:val="ListParagraph"/>
        <w:numPr>
          <w:ilvl w:val="0"/>
          <w:numId w:val="1"/>
        </w:numPr>
        <w:spacing w:after="60"/>
      </w:pPr>
      <w:r>
        <w:rPr>
          <w:b/>
          <w:bCs/>
        </w:rPr>
        <w:t xml:space="preserve">Non-compete</w:t>
      </w:r>
      <w:r>
        <w:t xml:space="preserve"> — same</w:t>
      </w:r>
    </w:p>
    <w:p>
      <w:pPr>
        <w:spacing w:after="180"/>
        <w:jc w:val="both"/>
      </w:pPr>
      <w:r>
        <w:t xml:space="preserve">Survival is the key mechanism that makes a clean termination possible: if you exit, you don't walk away with the IP, clients, confidential information, or the right to poach.</w:t>
      </w:r>
    </w:p>
    <w:p>
      <w:pPr>
        <w:spacing w:after="180"/>
        <w:jc w:val="both"/>
      </w:pPr>
      <w:r>
        <w:t xml:space="preserve">При розірванні T&amp;M три речі відбуваються одночасно: (1) оплата за фактично відпрацьовані години до дати termination, (2) передача IP за оплачену роботу, (3) knowledge transfer. Якщо клієнт не заплатив — IP не переходить, і це наш головний leverage при messy terminations. &lt;/Voice&gt;</w:t>
      </w:r>
    </w:p>
    <w:p>
      <w:pPr>
        <w:spacing w:after="180"/>
        <w:jc w:val="both"/>
      </w:pPr>
      <w:r>
        <w:t xml:space="preserve">Effect of termination визначає, наскільки «чисто» закінчується engagement. На практиці: підготуйте handover package (доступи, документація, незавершені задачі) заздалегідь. У T&amp;M немає «фінальних deliverables» як у fixed-price, тому handover process має бути описаний детальніше. &lt;/Voice&gt;</w:t>
      </w:r>
    </w:p>
    <w:p>
      <w:pPr>
        <w:pStyle w:val="Heading2"/>
        <w:keepNext/>
        <w:spacing w:after="180" w:before="360"/>
      </w:pPr>
      <w:r>
        <w:t xml:space="preserve">8. Dispute Resolution</w:t>
      </w:r>
    </w:p>
    <w:p>
      <w:pPr>
        <w:spacing w:after="180"/>
        <w:jc w:val="both"/>
      </w:pPr>
      <w:r>
        <w:rPr>
          <w:b/>
          <w:bCs/>
        </w:rPr>
        <w:t xml:space="preserve">Negotiation.</w:t>
      </w:r>
      <w:r>
        <w:t xml:space="preserve"> In case of any controversy or claim arising out of this agreement, the parties shall consult and negotiate with each other and attempt to reach a mutually satisfactory solution.</w:t>
      </w:r>
    </w:p>
    <w:p>
      <w:pPr>
        <w:spacing w:after="180"/>
        <w:jc w:val="both"/>
      </w:pPr>
      <w:r>
        <w:rPr>
          <w:b/>
          <w:bCs/>
        </w:rPr>
        <w:t xml:space="preserve">Choice of forum.</w:t>
      </w:r>
      <w:r>
        <w:t xml:space="preserve"> If the parties do not reach a settlement within a period of </w:t>
      </w:r>
      <w:r>
        <w:rPr>
          <w:b/>
          <w:bCs/>
        </w:rPr>
        <w:t xml:space="preserve">60 days</w:t>
      </w:r>
      <w:r>
        <w:t xml:space="preserve">, any unresolved controversy or claim shall be settled in the </w:t>
      </w:r>
      <w:r>
        <w:rPr>
          <w:b/>
          <w:bCs/>
        </w:rPr>
        <w:t xml:space="preserve">courts of England and Wales</w:t>
      </w:r>
      <w:r>
        <w:t xml:space="preserve">.</w:t>
      </w:r>
    </w:p>
    <w:p>
      <w:pPr>
        <w:spacing w:after="180"/>
        <w:jc w:val="both"/>
      </w:pPr>
      <w:r>
        <w:t xml:space="preserve">England &amp; Wales — нейтральний forum для EU-контрактора і міжнародного клієнта. Selling point: «London Commercial Court — один з найшвидших і найпередбачуваніших у світі.» Якщо клієнт наполягає на своїй юрисдикції — це negotiation leverage, не dealbreaker. &lt;/Voice&gt;</w:t>
      </w:r>
    </w:p>
    <w:p>
      <w:pPr>
        <w:spacing w:after="180"/>
        <w:jc w:val="both"/>
      </w:pPr>
      <w:r>
        <w:t xml:space="preserve">На практиці dispute resolution clause використовується раз на 50+ контрактів. Але коли він потрібен — він критичний. Вартість litigation в UK висока для обох сторін, що створює стимул вирішувати спори мирним шляхом. У T&amp;M disputes зазвичай про неоплачені інвойси, а не про якість роботи. &lt;/Voice&gt;</w:t>
      </w:r>
    </w:p>
    <w:p>
      <w:pPr>
        <w:spacing w:after="180"/>
        <w:jc w:val="both"/>
      </w:pPr>
      <w:r>
        <w:t xml:space="preserve">Якщо клієнт хоче свою юрисдикцію — trade-off: погоджуйтесь на юрисдикцію клієнта, але вимагайте mandatory mediation перед судом. Mediation дешевша і швидша, і зазвичай вирішує T&amp;M спори без суду. &lt;/Voice&gt;</w:t>
      </w:r>
    </w:p>
    <w:p>
      <w:pPr>
        <w:pStyle w:val="Heading2"/>
        <w:keepNext/>
        <w:spacing w:after="180" w:before="360"/>
      </w:pPr>
      <w:r>
        <w:t xml:space="preserve">9. Signatures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Acme Services GmbH</w:t>
            </w:r>
          </w:p>
        </w:tc>
        <w:tc>
          <w:tcPr>
            <w:tcW w:type="pct" w:w="50%"/>
            <w:shd w:fill="EEE9D4" w:val="clear"/>
            <w:tcMar>
              <w:top w:type="dxa" w:w="80"/>
              <w:left w:type="dxa" w:w="120"/>
              <w:bottom w:type="dxa" w:w="80"/>
              <w:right w:type="dxa" w:w="120"/>
            </w:tcMar>
          </w:tcPr>
          <w:p>
            <w:pPr>
              <w:spacing w:after="60" w:before="60"/>
            </w:pPr>
            <w:r>
              <w:rPr>
                <w:b/>
                <w:bCs/>
                <w:sz w:val="20"/>
                <w:szCs w:val="20"/>
              </w:rPr>
              <w:t xml:space="preserve">Customer</w:t>
            </w:r>
          </w:p>
        </w:tc>
      </w:tr>
      <w:tr>
        <w:tc>
          <w:tcPr>
            <w:tcW w:type="pct" w:w="50%"/>
            <w:tcMar>
              <w:top w:type="dxa" w:w="80"/>
              <w:left w:type="dxa" w:w="120"/>
              <w:bottom w:type="dxa" w:w="80"/>
              <w:right w:type="dxa" w:w="120"/>
            </w:tcMar>
          </w:tcPr>
          <w:p>
            <w:pPr>
              <w:spacing w:after="60" w:before="60"/>
            </w:pPr>
            <w:r>
              <w:rPr>
                <w:b w:val="false"/>
                <w:bCs w:val="false"/>
                <w:sz w:val="20"/>
                <w:szCs w:val="20"/>
              </w:rPr>
              <w:t xml:space="preserve">Registry code: HRB123456X / VAT ID: DE999888777</w:t>
            </w:r>
          </w:p>
        </w:tc>
        <w:tc>
          <w:tcPr>
            <w:tcW w:type="pct" w:w="50%"/>
            <w:tcMar>
              <w:top w:type="dxa" w:w="80"/>
              <w:left w:type="dxa" w:w="120"/>
              <w:bottom w:type="dxa" w:w="80"/>
              <w:right w:type="dxa" w:w="120"/>
            </w:tcMar>
          </w:tcPr>
          <w:p>
            <w:pPr>
              <w:spacing w:after="60" w:before="60"/>
            </w:pPr>
            <w:r>
              <w:rPr>
                <w:b w:val="false"/>
                <w:bCs w:val="false"/>
                <w:sz w:val="20"/>
                <w:szCs w:val="20"/>
              </w:rPr>
              <w:t xml:space="preserve">Company ID / VAT ID: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Jurisdiction: Germany</w:t>
            </w:r>
          </w:p>
        </w:tc>
        <w:tc>
          <w:tcPr>
            <w:tcW w:type="pct" w:w="50%"/>
            <w:tcMar>
              <w:top w:type="dxa" w:w="80"/>
              <w:left w:type="dxa" w:w="120"/>
              <w:bottom w:type="dxa" w:w="80"/>
              <w:right w:type="dxa" w:w="120"/>
            </w:tcMar>
          </w:tcPr>
          <w:p>
            <w:pPr>
              <w:spacing w:after="60" w:before="60"/>
            </w:pPr>
            <w:r>
              <w:rPr>
                <w:b w:val="false"/>
                <w:bCs w:val="false"/>
                <w:sz w:val="20"/>
                <w:szCs w:val="20"/>
              </w:rPr>
              <w:t xml:space="preserve">Jurisdiction: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Address: Musterstraße 1, Berlin, 10115, Germany</w:t>
            </w:r>
          </w:p>
        </w:tc>
        <w:tc>
          <w:tcPr>
            <w:tcW w:type="pct" w:w="50%"/>
            <w:tcMar>
              <w:top w:type="dxa" w:w="80"/>
              <w:left w:type="dxa" w:w="120"/>
              <w:bottom w:type="dxa" w:w="80"/>
              <w:right w:type="dxa" w:w="120"/>
            </w:tcMar>
          </w:tcPr>
          <w:p>
            <w:pPr>
              <w:spacing w:after="60" w:before="60"/>
            </w:pPr>
            <w:r>
              <w:rPr>
                <w:b w:val="false"/>
                <w:bCs w:val="false"/>
                <w:sz w:val="20"/>
                <w:szCs w:val="20"/>
              </w:rPr>
              <w:t xml:space="preserve">Address: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r>
      <w:tr>
        <w:tc>
          <w:tcPr>
            <w:tcW w:type="pct" w:w="50%"/>
            <w:tcMar>
              <w:top w:type="dxa" w:w="80"/>
              <w:left w:type="dxa" w:w="120"/>
              <w:bottom w:type="dxa" w:w="80"/>
              <w:right w:type="dxa" w:w="120"/>
            </w:tcMar>
          </w:tcPr>
          <w:p>
            <w:pPr>
              <w:spacing w:after="60" w:before="60"/>
            </w:pPr>
            <w:r>
              <w:rPr>
                <w:b/>
                <w:bCs/>
                <w:sz w:val="20"/>
                <w:szCs w:val="20"/>
              </w:rPr>
              <w:t xml:space="preserve">[Director Name], Director</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bl>
    <w:p>
      <w:pPr>
        <w:spacing w:after="160" w:before="0"/>
      </w:pPr>
      <w:r>
        <w:t xml:space="preserve"/>
      </w:r>
    </w:p>
    <w:p>
      <w:pPr>
        <w:pBdr>
          <w:bottom w:val="single" w:color="CCCCCC" w:sz="6" w:space="1"/>
        </w:pBdr>
        <w:spacing w:after="200" w:before="200"/>
      </w:pPr>
      <w:r>
        <w:t xml:space="preserve"/>
      </w:r>
    </w:p>
    <w:p>
      <w:pPr>
        <w:pStyle w:val="Heading2"/>
        <w:keepNext/>
        <w:spacing w:after="180" w:before="360"/>
      </w:pPr>
      <w:r>
        <w:t xml:space="preserve">Attachment A — Rate Sheet</w:t>
      </w:r>
    </w:p>
    <w:p>
      <w:pPr>
        <w:spacing w:after="180"/>
        <w:jc w:val="both"/>
      </w:pPr>
      <w:r>
        <w:t xml:space="preserve">To the Time &amp; Materials Agreement dated ___________.</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Role</w:t>
            </w:r>
          </w:p>
        </w:tc>
        <w:tc>
          <w:tcPr>
            <w:tcW w:type="pct" w:w="50%"/>
            <w:shd w:fill="EEE9D4" w:val="clear"/>
            <w:tcMar>
              <w:top w:type="dxa" w:w="80"/>
              <w:left w:type="dxa" w:w="120"/>
              <w:bottom w:type="dxa" w:w="80"/>
              <w:right w:type="dxa" w:w="120"/>
            </w:tcMar>
          </w:tcPr>
          <w:p>
            <w:pPr>
              <w:spacing w:after="60" w:before="60"/>
            </w:pPr>
            <w:r>
              <w:rPr>
                <w:b/>
                <w:bCs/>
                <w:sz w:val="20"/>
                <w:szCs w:val="20"/>
              </w:rPr>
              <w:t xml:space="preserve">Hourly rate, EUR (€)</w:t>
            </w:r>
          </w:p>
        </w:tc>
      </w:tr>
      <w:tr>
        <w:tc>
          <w:tcPr>
            <w:tcW w:type="pct" w:w="50%"/>
            <w:tcMar>
              <w:top w:type="dxa" w:w="80"/>
              <w:left w:type="dxa" w:w="120"/>
              <w:bottom w:type="dxa" w:w="80"/>
              <w:right w:type="dxa" w:w="120"/>
            </w:tcMar>
          </w:tcPr>
          <w:p>
            <w:pPr>
              <w:spacing w:after="60" w:before="60"/>
            </w:pPr>
            <w:r>
              <w:rPr>
                <w:b w:val="false"/>
                <w:bCs w:val="false"/>
                <w:sz w:val="20"/>
                <w:szCs w:val="20"/>
              </w:rPr>
              <w:t xml:space="preserve">Senior Developer</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Mid-Level Developer</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QA Engineer</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DevOps / Infrastructure</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Project Manager</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Tech Lead</w:t>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bl>
    <w:p>
      <w:pPr>
        <w:spacing w:after="16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A8578"/>
        <w:sz w:val="16"/>
        <w:szCs w:val="16"/>
      </w:rPr>
      <w:t xml:space="preserve">Договір Time &amp; Materials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Договір Time &amp; Materials</dc:title>
  <dc:creator>Drafters</dc:creator>
  <dc:description>Exported from Drafters — Договір Time &amp; Materials</dc:description>
  <cp:lastModifiedBy>Un-named</cp:lastModifiedBy>
  <cp:revision>1</cp:revision>
  <dcterms:created xsi:type="dcterms:W3CDTF">2026-04-16T09:11:34.463Z</dcterms:created>
  <dcterms:modified xsi:type="dcterms:W3CDTF">2026-04-16T09:11:34.463Z</dcterms:modified>
</cp:coreProperties>
</file>

<file path=docProps/custom.xml><?xml version="1.0" encoding="utf-8"?>
<Properties xmlns="http://schemas.openxmlformats.org/officeDocument/2006/custom-properties" xmlns:vt="http://schemas.openxmlformats.org/officeDocument/2006/docPropsVTypes"/>
</file>