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left"/>
      </w:pPr>
      <w:r>
        <w:t xml:space="preserve">Обробка персональних даних</w:t>
      </w:r>
    </w:p>
    <w:p>
      <w:pPr>
        <w:spacing w:after="180"/>
        <w:jc w:val="both"/>
      </w:pPr>
      <w:r>
        <w:rPr>
          <w:b/>
          <w:bCs/>
        </w:rPr>
        <w:t xml:space="preserve">Roles.</w:t>
      </w:r>
      <w:r>
        <w:t xml:space="preserve"> For the purposes of data processing under Regulation (EU) 2016/679 ("GDPR"), the Customer is the </w:t>
      </w:r>
      <w:r>
        <w:rPr>
          <w:b/>
          <w:bCs/>
        </w:rPr>
        <w:t xml:space="preserve">Data Controller</w:t>
      </w:r>
      <w:r>
        <w:t xml:space="preserve"> and the Contractor is the </w:t>
      </w:r>
      <w:r>
        <w:rPr>
          <w:b/>
          <w:bCs/>
        </w:rPr>
        <w:t xml:space="preserve">Data Processor</w:t>
      </w:r>
      <w:r>
        <w:t xml:space="preserve">.</w:t>
      </w:r>
    </w:p>
    <w:p>
      <w:pPr>
        <w:spacing w:after="180"/>
        <w:jc w:val="both"/>
      </w:pPr>
      <w:r>
        <w:rPr>
          <w:b/>
          <w:bCs/>
        </w:rPr>
        <w:t xml:space="preserve">Processing Scope.</w:t>
      </w:r>
      <w:r>
        <w:t xml:space="preserve"> The Contractor shall process personal data only on documented instructions from the Customer, as specified in the Data Processing Agreement annex. The categories of data subjects, types of personal data, and purposes of processing are defined in that annex.</w:t>
      </w:r>
    </w:p>
    <w:p>
      <w:pPr>
        <w:spacing w:after="180"/>
        <w:jc w:val="both"/>
      </w:pPr>
      <w:r>
        <w:rPr>
          <w:b/>
          <w:bCs/>
        </w:rPr>
        <w:t xml:space="preserve">Sub-processors.</w:t>
      </w:r>
      <w:r>
        <w:t xml:space="preserve"> The Contractor may engage sub-processors only with the Customer's prior written consent. The Contractor shall maintain a list of approved sub-processors and notify the Customer at least </w:t>
      </w:r>
      <w:r>
        <w:rPr>
          <w:b/>
          <w:bCs/>
        </w:rPr>
        <w:t xml:space="preserve">thirty (30) days</w:t>
      </w:r>
      <w:r>
        <w:t xml:space="preserve"> before engaging a new sub-processor. The Customer may object within 15 days; if the objection is not resolved, either party may terminate the affected services.</w:t>
      </w:r>
    </w:p>
    <w:p>
      <w:pPr>
        <w:spacing w:after="180"/>
        <w:jc w:val="both"/>
      </w:pPr>
      <w:r>
        <w:rPr>
          <w:b/>
          <w:bCs/>
        </w:rPr>
        <w:t xml:space="preserve">Security Measures.</w:t>
      </w:r>
      <w:r>
        <w:t xml:space="preserve"> The Contractor shall implement appropriate technical and organizational measures to ensure a level of security appropriate to the risk, including as appropriate:</w:t>
      </w:r>
    </w:p>
    <w:p>
      <w:pPr>
        <w:pStyle w:val="ListParagraph"/>
        <w:numPr>
          <w:ilvl w:val="0"/>
          <w:numId w:val="1"/>
        </w:numPr>
        <w:spacing w:after="60"/>
      </w:pPr>
      <w:r>
        <w:t xml:space="preserve">pseudonymization and encryption of personal data;</w:t>
      </w:r>
    </w:p>
    <w:p>
      <w:pPr>
        <w:pStyle w:val="ListParagraph"/>
        <w:numPr>
          <w:ilvl w:val="0"/>
          <w:numId w:val="1"/>
        </w:numPr>
        <w:spacing w:after="60"/>
      </w:pPr>
      <w:r>
        <w:t xml:space="preserve">ensuring ongoing confidentiality, integrity, availability;</w:t>
      </w:r>
    </w:p>
    <w:p>
      <w:pPr>
        <w:pStyle w:val="ListParagraph"/>
        <w:numPr>
          <w:ilvl w:val="0"/>
          <w:numId w:val="1"/>
        </w:numPr>
        <w:spacing w:after="60"/>
      </w:pPr>
      <w:r>
        <w:t xml:space="preserve">regular testing and evaluation of security measures.</w:t>
      </w:r>
    </w:p>
    <w:p>
      <w:pPr>
        <w:spacing w:after="180"/>
        <w:jc w:val="both"/>
      </w:pPr>
      <w:r>
        <w:rPr>
          <w:b/>
          <w:bCs/>
        </w:rPr>
        <w:t xml:space="preserve">Breach Notification.</w:t>
      </w:r>
      <w:r>
        <w:t xml:space="preserve"> The Contractor shall notify the Customer without undue delay, and in any event within </w:t>
      </w:r>
      <w:r>
        <w:rPr>
          <w:b/>
          <w:bCs/>
        </w:rPr>
        <w:t xml:space="preserve">48 hours</w:t>
      </w:r>
      <w:r>
        <w:t xml:space="preserve">, after becoming aware of a personal data breach.</w:t>
      </w:r>
    </w:p>
    <w:p>
      <w:pPr>
        <w:spacing w:after="180"/>
        <w:jc w:val="both"/>
      </w:pPr>
      <w:r>
        <w:rPr>
          <w:b/>
          <w:bCs/>
        </w:rPr>
        <w:t xml:space="preserve">Audit Rights.</w:t>
      </w:r>
      <w:r>
        <w:t xml:space="preserve"> The Customer or its designated auditor may audit the Contractor's compliance with this clause once per calendar year, with </w:t>
      </w:r>
      <w:r>
        <w:rPr>
          <w:b/>
          <w:bCs/>
        </w:rPr>
        <w:t xml:space="preserve">thirty (30) days</w:t>
      </w:r>
      <w:r>
        <w:t xml:space="preserve"> advance written notice. The Contractor shall cooperate and provide reasonable access to relevant records and facilities.</w:t>
      </w:r>
    </w:p>
    <w:p>
      <w:pPr>
        <w:spacing w:after="180"/>
        <w:jc w:val="both"/>
      </w:pPr>
      <w:r>
        <w:rPr>
          <w:b/>
          <w:bCs/>
        </w:rPr>
        <w:t xml:space="preserve">Data Return and Deletion.</w:t>
      </w:r>
      <w:r>
        <w:t xml:space="preserve"> Upon termination of the services, the Contractor shall, at the Customer's choice, return or delete all personal data within </w:t>
      </w:r>
      <w:r>
        <w:rPr>
          <w:b/>
          <w:bCs/>
        </w:rPr>
        <w:t xml:space="preserve">thirty (30) days</w:t>
      </w:r>
      <w:r>
        <w:t xml:space="preserve">, and certify deletion in writing. This obligation does not apply to data the Contractor is required to retain under applicable law.</w:t>
      </w:r>
    </w:p>
    <w:p>
      <w:pPr>
        <w:pStyle w:val="Heading2"/>
        <w:keepNext/>
        <w:spacing w:after="180" w:before="360"/>
      </w:pPr>
      <w:r>
        <w:t xml:space="preserve">How this clause fits the broader agreement</w:t>
      </w:r>
    </w:p>
    <w:p>
      <w:pPr>
        <w:pStyle w:val="ListParagraph"/>
        <w:numPr>
          <w:ilvl w:val="0"/>
          <w:numId w:val="1"/>
        </w:numPr>
        <w:spacing w:after="60"/>
      </w:pPr>
      <w:r>
        <w:t xml:space="preserve">Sits inside the Data Processing Agreement as the core</w:t>
      </w:r>
    </w:p>
    <w:p>
      <w:pPr>
        <w:spacing w:after="180"/>
        <w:jc w:val="both"/>
      </w:pPr>
      <w:r>
        <w:t xml:space="preserve">obligation</w:t>
      </w:r>
    </w:p>
    <w:p>
      <w:pPr>
        <w:pStyle w:val="ListParagraph"/>
        <w:numPr>
          <w:ilvl w:val="0"/>
          <w:numId w:val="1"/>
        </w:numPr>
        <w:spacing w:after="60"/>
      </w:pPr>
      <w:r>
        <w:t xml:space="preserve">Complements Confidentiality Mutual (which covers all</w:t>
      </w:r>
    </w:p>
    <w:p>
      <w:pPr>
        <w:spacing w:after="180"/>
        <w:jc w:val="both"/>
      </w:pPr>
      <w:r>
        <w:t xml:space="preserve">confidential information, not just personal data)</w:t>
      </w:r>
    </w:p>
    <w:p>
      <w:pPr>
        <w:pStyle w:val="ListParagraph"/>
        <w:numPr>
          <w:ilvl w:val="0"/>
          <w:numId w:val="1"/>
        </w:numPr>
        <w:spacing w:after="60"/>
      </w:pPr>
      <w:r>
        <w:t xml:space="preserve">Interacts with Liability Limitation Mutual — note that GDPR</w:t>
      </w:r>
    </w:p>
    <w:p>
      <w:pPr>
        <w:spacing w:after="180"/>
        <w:jc w:val="both"/>
      </w:pPr>
      <w:r>
        <w:t xml:space="preserve">fines are typically excluded from liability caps as a matter of public policy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Обробка персональних даних</dc:title>
  <dc:creator>Drafters</dc:creator>
  <dc:description>Exported from Drafters — Обробка персональних даних</dc:description>
  <cp:lastModifiedBy>Un-named</cp:lastModifiedBy>
  <cp:revision>1</cp:revision>
  <dcterms:created xsi:type="dcterms:W3CDTF">2026-04-16T09:11:34.475Z</dcterms:created>
  <dcterms:modified xsi:type="dcterms:W3CDTF">2026-04-16T09:11:34.475Z</dcterms:modified>
</cp:coreProperties>
</file>

<file path=docProps/custom.xml><?xml version="1.0" encoding="utf-8"?>
<Properties xmlns="http://schemas.openxmlformats.org/officeDocument/2006/custom-properties" xmlns:vt="http://schemas.openxmlformats.org/officeDocument/2006/docPropsVTypes"/>
</file>