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Взаємна індемніфікація</w:t>
      </w:r>
      <w:r>
        <w:t xml:space="preserve"> — покриває позови від третіх сторін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змогу перекласти відшкодування на субпідрядника, якщо це його код спричинив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Взаємне обмеження</w:t>
      </w:r>
      <w:r>
        <w:t xml:space="preserve"> — виключає спекулятивні збитки</w:t>
      </w:r>
    </w:p>
    <w:p>
      <w:pPr>
        <w:spacing w:after="180"/>
        <w:jc w:val="both"/>
      </w:pPr>
      <w:r>
        <w:t xml:space="preserve">(наприклад, «ми втратили контракт на $10M через вашу затримку у 2 дні»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Стеля відповідальності</w:t>
      </w:r>
      <w:r>
        <w:t xml:space="preserve"> — жорстка верхня межа будь-якої</w:t>
      </w:r>
    </w:p>
    <w:p>
      <w:pPr>
        <w:spacing w:after="180"/>
        <w:jc w:val="both"/>
      </w:pPr>
      <w:r>
        <w:t xml:space="preserve">відповідальності, прив'язана до реальних грошей, що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галузевий стандарт у IT-сервісах. Логіка проста: відповідальність має бути пропорційна розміру співпраці. Якщо ми заплатили субпідряднику $100k за рік, його максимальна відповідальність — $100k. Не $1M, не $50k. Це передбачувано і симетрично.</w:t>
      </w:r>
    </w:p>
    <w:p>
      <w:pPr>
        <w:spacing w:after="180"/>
        <w:jc w:val="both"/>
      </w:pPr>
      <w:r>
        <w:t xml:space="preserve">Деякі клієнти намагаються зменшити стелю до 3–6 місяців або до фіксованої суми. У таких випадках треба розуміти, чи це зниження відповідає вартості потенційних ризиків конкретного проєкту.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прав інтелектуальної власності.</w:t>
      </w:r>
      <w:r>
        <w:t xml:space="preserve"> Якщо ми передали</w:t>
      </w:r>
    </w:p>
    <w:p>
      <w:pPr>
        <w:spacing w:after="180"/>
        <w:jc w:val="both"/>
      </w:pPr>
      <w:r>
        <w:t xml:space="preserve">клієнту код із GPL-залежністю і клієнт отримав позов від Free Software Foundation — наша стеля у 12 місяців винагороди </w:t>
      </w:r>
      <w:r>
        <w:rPr>
          <w:b/>
          <w:bCs/>
        </w:rPr>
        <w:t xml:space="preserve">не</w:t>
      </w:r>
      <w:r>
        <w:t xml:space="preserve"> обмежує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Розголошення конфіденційної інформації.</w:t>
      </w:r>
      <w:r>
        <w:t xml:space="preserve"> Порушення</w:t>
      </w:r>
    </w:p>
    <w:p>
      <w:pPr>
        <w:spacing w:after="180"/>
        <w:jc w:val="both"/>
      </w:pPr>
      <w:r>
        <w:t xml:space="preserve">конфіденційності часто виходить за межі взаємного обмеження, бо збитки тут «віддалені за визначенням» — клієнт не може точно обрахувати, скільки коштував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Умисні порушення.</w:t>
      </w:r>
      <w:r>
        <w:t xml:space="preserve"> Умисна поведінка (willful misconduct) не</w:t>
      </w:r>
    </w:p>
    <w:p>
      <w:pPr>
        <w:spacing w:after="180"/>
        <w:jc w:val="both"/>
      </w:pPr>
      <w:r>
        <w:t xml:space="preserve">обмежується стелею. Це імперативна норма у багатьох юрисдикціях і прямо записана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Це другий справжній наскрізний пункт (після Dispute Resolution UK). Зміна стелі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2026-04-16T09:11:34.482Z</dcterms:created>
  <dcterms:modified xsi:type="dcterms:W3CDTF">2026-04-16T09:11:34.482Z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