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80"/>
        <w:jc w:val="both"/>
      </w:pPr>
      <w:r>
        <w:t xml:space="preserve">довший — погодьте 10 днів у тексті.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"Undisputed by the Contractor within 5 business days ... considered</w:t>
      </w:r>
    </w:p>
    <w:p>
      <w:pPr>
        <w:spacing w:after="180"/>
        <w:jc w:val="both"/>
      </w:pPr>
      <w:r>
        <w:t xml:space="preserve">accepted" — тихе прийняття. Якщо не встигли оспорити — сплачуйте.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Цей пункт працює разом із Rate Increase та пунктом Invoicing</w:t>
      </w:r>
    </w:p>
    <w:p>
      <w:pPr>
        <w:spacing w:after="180"/>
        <w:jc w:val="both"/>
      </w:pPr>
      <w:r>
        <w:t xml:space="preserve">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2026-04-16T09:11:34.616Z</dcterms:created>
  <dcterms:modified xsi:type="dcterms:W3CDTF">2026-04-16T09:11:34.616Z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