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Розв'язання платіжних спорів (клієнт)</w:t>
      </w:r>
    </w:p>
    <w:p>
      <w:pPr>
        <w:spacing w:after="18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</w:t>
      </w:r>
      <w:r>
        <w:rPr>
          <w:b/>
          <w:bCs/>
        </w:rPr>
        <w:t xml:space="preserve">Клієнт</w:t>
      </w:r>
      <w:r>
        <w:t xml:space="preserve">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80"/>
        <w:jc w:val="both"/>
      </w:pPr>
      <w:r>
        <w:t xml:space="preserve">Платежі, які не оспорено Клієнтом протягом 5 робочих днів з моменту отримання, вважаються прийнятими.</w:t>
      </w:r>
    </w:p>
    <w:p>
      <w:pPr>
        <w:pStyle w:val="Heading2"/>
        <w:keepNext/>
        <w:spacing w:after="180" w:before="360"/>
      </w:pPr>
      <w:r>
        <w:t xml:space="preserve">Різниця з Payment Dispute (субпідрядна версія)</w:t>
      </w:r>
    </w:p>
    <w:p>
      <w:pPr>
        <w:spacing w:after="180"/>
        <w:jc w:val="both"/>
      </w:pPr>
      <w:r>
        <w:t xml:space="preserve">Текст механічно ідентичний, але платником виступає інша сторона: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Договір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платить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оспорює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Хто має 5 днів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 / PM / Marketing subcontract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Contractor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Services Agreement (клієнт)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 (Customer)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Клієнт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80"/>
        <w:jc w:val="both"/>
      </w:pPr>
      <w:r>
        <w:t xml:space="preserve">Це той самий патерн у двох напрямках. Обидва варіанти — це один і той самий захисний механізм від "тихих" спорів, просто застосований у протилежних ролях.</w:t>
      </w:r>
    </w:p>
    <w:p>
      <w:pPr>
        <w:pStyle w:val="Heading2"/>
        <w:keepNext/>
        <w:spacing w:after="180" w:before="360"/>
      </w:pPr>
      <w:r>
        <w:t xml:space="preserve">На що звертати увагу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5 робочих днів</w:t>
      </w:r>
      <w:r>
        <w:t xml:space="preserve"> — це короткий термін і для клієнта теж. На</w:t>
      </w:r>
    </w:p>
    <w:p>
      <w:pPr>
        <w:spacing w:after="180"/>
        <w:jc w:val="both"/>
      </w:pPr>
      <w:r>
        <w:t xml:space="preserve">великих проєктах з довгим ланцюгом погоджень клієнти просять 10–15 днів. Погоджуйте.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«Вважається прийнятим» — тихе прийняття працює на нашу</w:t>
      </w:r>
    </w:p>
    <w:p>
      <w:pPr>
        <w:spacing w:after="180"/>
        <w:jc w:val="both"/>
      </w:pPr>
      <w:r>
        <w:t xml:space="preserve">користь у клієнтському договорі. Якщо клієнт не встиг оспорити — ми отримуємо гроші.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Пункт працює у парі з Late Payments Interest: спершу</w:t>
      </w:r>
    </w:p>
    <w:p>
      <w:pPr>
        <w:spacing w:after="180"/>
        <w:jc w:val="both"/>
      </w:pPr>
      <w:r>
        <w:t xml:space="preserve">5 днів на оспорення, потім нарахування відсотків за прострочення.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Розв'язання платіжних спорів (клієнт)</dc:title>
  <dc:creator>Drafters</dc:creator>
  <dc:description>Exported from Drafters — Розв'язання платіжних спорів (клієнт)</dc:description>
  <cp:lastModifiedBy>Un-named</cp:lastModifiedBy>
  <cp:revision>1</cp:revision>
  <dcterms:created xsi:type="dcterms:W3CDTF">2026-04-16T09:11:34.751Z</dcterms:created>
  <dcterms:modified xsi:type="dcterms:W3CDTF">2026-04-16T09:11:34.751Z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