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Acme Services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Acme Services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різниця у cap на rate increase</w:t>
      </w:r>
      <w:r>
        <w:t xml:space="preserve"> — 12% у клієнтському договорі проти 10% у субпідрядних.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documents/services-agreement-2026.mdx</w:t>
      </w:r>
      <w:r>
        <w:t xml:space="preserve"> (Aug 2025, reviewed by Legal). Раніше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Acme Services GmbH (2026)</dc:title>
  <dc:creator>Drafters</dc:creator>
  <dc:description>Exported from Drafters — Services Agreement — Acme Services GmbH (2026)</dc:description>
  <cp:lastModifiedBy>Un-named</cp:lastModifiedBy>
  <cp:revision>1</cp:revision>
  <dcterms:created xsi:type="dcterms:W3CDTF">2026-04-16T09:11:34.282Z</dcterms:created>
  <dcterms:modified xsi:type="dcterms:W3CDTF">2026-04-16T09:11:34.282Z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