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Acme Services Software GMBH 2026 року для залучення зовнішніх маркетологів: digital, performance, strategic planning, campaign management.</w:t>
      </w:r>
    </w:p>
    <w:p>
      <w:pPr>
        <w:spacing w:after="18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USD, як у Dev/PM. Це свідома різниця: більшість маркетингових субпідрядників у нас — з ЄС, де євро природніший.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80"/>
        <w:jc w:val="both"/>
      </w:pPr>
      <w:r>
        <w:t xml:space="preserve">marketing planning, campaign management, performance marketing, and related consulting services"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Attachment A</w:t>
      </w:r>
      <w:r>
        <w:t xml:space="preserve"> — rate sheet у EUR замість USD, явно включає</w:t>
      </w:r>
    </w:p>
    <w:p>
      <w:pPr>
        <w:spacing w:after="180"/>
        <w:jc w:val="both"/>
      </w:pPr>
      <w:r>
        <w:t xml:space="preserve">роль "Digital Marketing Specialist"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Bank details у підписі</w:t>
      </w:r>
      <w:r>
        <w:t xml:space="preserve"> — включає Bank / Account Number /</w:t>
      </w:r>
    </w:p>
    <w:p>
      <w:pPr>
        <w:spacing w:after="180"/>
        <w:jc w:val="both"/>
      </w:pPr>
      <w:r>
        <w:t xml:space="preserve">SWIFT для зручності виплат через SEPA</w:t>
      </w:r>
    </w:p>
    <w:p>
      <w:pPr>
        <w:spacing w:after="18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keepNext/>
        <w:spacing w:after="180" w:before="36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80"/>
        <w:jc w:val="both"/>
      </w:pPr>
      <w:r>
        <w:t xml:space="preserve">кампаніях, креативи, performance-дашборди, ads copy, SEO audits, стратегічні документи.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Publicity</w:t>
      </w:r>
      <w:r>
        <w:t xml:space="preserve"> — особливо важливий пункт для маркетингу, бо</w:t>
      </w:r>
    </w:p>
    <w:p>
      <w:pPr>
        <w:spacing w:after="180"/>
        <w:jc w:val="both"/>
      </w:pPr>
      <w:r>
        <w:t xml:space="preserve">маркетологи часто хочуть додати нас у своє портфоліо. Договір дозволяє це "for marketing purpose only" — тобто case study без розкриття sensitive client info.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 — рідкісніше в маркетингу, але буває при launch</w:t>
      </w:r>
    </w:p>
    <w:p>
      <w:pPr>
        <w:spacing w:after="180"/>
        <w:jc w:val="both"/>
      </w:pPr>
      <w:r>
        <w:t xml:space="preserve">дедлайнах. Потребує письмового approval.</w:t>
      </w:r>
    </w:p>
    <w:p>
      <w:pPr>
        <w:pStyle w:val="Heading2"/>
        <w:keepNext/>
        <w:spacing w:after="180" w:before="36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80"/>
        <w:jc w:val="both"/>
      </w:pPr>
      <w:r>
        <w:t xml:space="preserve">платящих клієнтів, обговорюємо додатково як окремий payout. Це не частина subcontract — це окремий referral memo.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</w:t>
      </w:r>
      <w:r>
        <w:t xml:space="preserve"> — хто "володіє" контактом, якщо</w:t>
      </w:r>
    </w:p>
    <w:p>
      <w:pPr>
        <w:spacing w:after="180"/>
        <w:jc w:val="both"/>
      </w:pPr>
      <w:r>
        <w:t xml:space="preserve">маркетолог привів лід. Фіксуйте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access</w:t>
      </w:r>
      <w:r>
        <w:t xml:space="preserve"> — маркетологу потрібні GA4, ads accounts,</w:t>
      </w:r>
    </w:p>
    <w:p>
      <w:pPr>
        <w:spacing w:after="180"/>
        <w:jc w:val="both"/>
      </w:pPr>
      <w:r>
        <w:t xml:space="preserve">CRM. IT Operations провіжинить їх зі read-only доступом за замовчуванням.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Оригінальний шаблон — </w:t>
      </w:r>
      <w:r>
        <w:rPr>
          <w:rFonts w:ascii="Consolas" w:cs="Consolas" w:eastAsia="Consolas" w:hAnsi="Consolas"/>
        </w:rPr>
        <w:t xml:space="preserve">documents/subcontract-marketing-2026.mdx</w:t>
      </w:r>
      <w:r>
        <w:t xml:space="preserve"> (Acme Services GmbH, Feb 2026). Раніше жив у зовнішньому шейрінгу, тепер повністю всередині цього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2026-04-16T09:11:34.310Z</dcterms:created>
  <dcterms:modified xsi:type="dcterms:W3CDTF">2026-04-16T09:11:34.310Z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