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«У міру того, як здійснюються необхідні платежі»</w:t>
      </w:r>
      <w:r>
        <w:t xml:space="preserve"> — трохи</w:t>
      </w:r>
    </w:p>
    <w:p>
      <w:pPr>
        <w:spacing w:after="180"/>
        <w:jc w:val="both"/>
      </w:pPr>
      <w:r>
        <w:t xml:space="preserve">незграбна фраза. На практиці означає: «після того, як ми виставили рахунок і клієнт його сплатив».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результати.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маємо тримати лад у репозиторіях у будь-який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Застереження про copyleft</w:t>
      </w:r>
      <w:r>
        <w:t xml:space="preserve"> тут ідентичне до субпідрядної</w:t>
      </w:r>
    </w:p>
    <w:p>
      <w:pPr>
        <w:spacing w:after="180"/>
        <w:jc w:val="both"/>
      </w:pPr>
      <w:r>
        <w:t xml:space="preserve">dev-версії, і саме тому важливе: якщо субпідрядник занесе в наш код GPL-залежність,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2026-04-10T12:32:30.061Z</dcterms:created>
  <dcterms:modified xsi:type="dcterms:W3CDTF">2026-04-10T12:32:30.061Z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