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Marketing (2026)</w:t>
      </w:r>
    </w:p>
    <w:p>
      <w:pPr>
        <w:spacing w:after="180"/>
        <w:jc w:val="both"/>
      </w:pPr>
      <w:r>
        <w:rPr>
          <w:b/>
          <w:bCs/>
        </w:rPr>
        <w:t xml:space="preserve">Договір субпідряду для маркетинг-спеціалістів</w:t>
      </w:r>
      <w:r>
        <w:t xml:space="preserve"> — шаблон Sloboda Software GMBH 2026 року для залучення зовнішніх маркетологів: digital, performance, strategic planning, campaign management.</w:t>
      </w:r>
    </w:p>
    <w:p>
      <w:pPr>
        <w:spacing w:after="180"/>
        <w:jc w:val="both"/>
      </w:pPr>
      <w:r>
        <w:t xml:space="preserve">Усі розрахунки у маркетингових субпідрядних — у </w:t>
      </w:r>
      <w:r>
        <w:rPr>
          <w:b/>
          <w:bCs/>
        </w:rPr>
        <w:t xml:space="preserve">EUR</w:t>
      </w:r>
      <w:r>
        <w:t xml:space="preserve">, а не в USD, як у Dev/PM. Це свідома різниця: більшість маркетингових субпідрядників у нас — з ЄС, де євро природніший.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Структурно ідентичний договору для PM — ті ж п'ять пунктів композиції, ті ж terms і terminations. Відмінності: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розгорнутий scope: "digital marketing, strategic</w:t>
      </w:r>
    </w:p>
    <w:p>
      <w:pPr>
        <w:spacing w:after="180"/>
        <w:jc w:val="both"/>
      </w:pPr>
      <w:r>
        <w:t xml:space="preserve">marketing planning, campaign management, performance marketing, and related consulting services"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Attachment A</w:t>
      </w:r>
      <w:r>
        <w:t xml:space="preserve"> — rate sheet у EUR замість USD, явно включає</w:t>
      </w:r>
    </w:p>
    <w:p>
      <w:pPr>
        <w:spacing w:after="180"/>
        <w:jc w:val="both"/>
      </w:pPr>
      <w:r>
        <w:t xml:space="preserve">роль "Digital Marketing Specialist"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Bank details у підписі</w:t>
      </w:r>
      <w:r>
        <w:t xml:space="preserve"> — включає Bank / Account Number /</w:t>
      </w:r>
    </w:p>
    <w:p>
      <w:pPr>
        <w:spacing w:after="180"/>
        <w:jc w:val="both"/>
      </w:pPr>
      <w:r>
        <w:t xml:space="preserve">SWIFT для зручності виплат через SEPA</w:t>
      </w:r>
    </w:p>
    <w:p>
      <w:pPr>
        <w:spacing w:after="180"/>
        <w:jc w:val="both"/>
      </w:pPr>
      <w:r>
        <w:t xml:space="preserve">IP-пункт — той самий IP Assignment (services), що й у PM (спрощена версія без copyleft).</w:t>
      </w:r>
    </w:p>
    <w:p>
      <w:pPr>
        <w:pStyle w:val="Heading2"/>
        <w:keepNext/>
        <w:spacing w:after="180" w:before="360"/>
      </w:pPr>
      <w:r>
        <w:t xml:space="preserve">Ключові terms — що специфічне для маркетингу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Deliverables</w:t>
      </w:r>
      <w:r>
        <w:t xml:space="preserve"> тут — це не код, а: медіа-плани, звіти по</w:t>
      </w:r>
    </w:p>
    <w:p>
      <w:pPr>
        <w:spacing w:after="180"/>
        <w:jc w:val="both"/>
      </w:pPr>
      <w:r>
        <w:t xml:space="preserve">кампаніях, креативи, performance-дашборди, ads copy, SEO audits, стратегічні документи.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Publicity</w:t>
      </w:r>
      <w:r>
        <w:t xml:space="preserve"> — особливо важливий пункт для маркетингу, бо</w:t>
      </w:r>
    </w:p>
    <w:p>
      <w:pPr>
        <w:spacing w:after="180"/>
        <w:jc w:val="both"/>
      </w:pPr>
      <w:r>
        <w:t xml:space="preserve">маркетологи часто хочуть додати нас у своє портфоліо. Договір дозволяє це "for marketing purpose only" — тобто case study без розкриття sensitive client info.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 — рідкісніше в маркетингу, але буває при launch</w:t>
      </w:r>
    </w:p>
    <w:p>
      <w:pPr>
        <w:spacing w:after="180"/>
        <w:jc w:val="both"/>
      </w:pPr>
      <w:r>
        <w:t xml:space="preserve">дедлайнах. Потребує письмового approval.</w:t>
      </w:r>
    </w:p>
    <w:p>
      <w:pPr>
        <w:pStyle w:val="Heading2"/>
        <w:keepNext/>
        <w:spacing w:after="180" w:before="360"/>
      </w:pPr>
      <w:r>
        <w:t xml:space="preserve">Що ми часто обговорюємо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Performance bonus</w:t>
      </w:r>
      <w:r>
        <w:t xml:space="preserve"> — не у шаблоні. Якщо маркетолог приводить</w:t>
      </w:r>
    </w:p>
    <w:p>
      <w:pPr>
        <w:spacing w:after="180"/>
        <w:jc w:val="both"/>
      </w:pPr>
      <w:r>
        <w:t xml:space="preserve">платящих клієнтів, обговорюємо додатково як окремий payout. Це не частина subcontract — це окремий referral memo.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Attribution credit</w:t>
      </w:r>
      <w:r>
        <w:t xml:space="preserve"> — хто "володіє" контактом, якщо</w:t>
      </w:r>
    </w:p>
    <w:p>
      <w:pPr>
        <w:spacing w:after="180"/>
        <w:jc w:val="both"/>
      </w:pPr>
      <w:r>
        <w:t xml:space="preserve">маркетолог привів лід. Фіксуйте на старті.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Data access</w:t>
      </w:r>
      <w:r>
        <w:t xml:space="preserve"> — маркетологу потрібні GA4, ads accounts,</w:t>
      </w:r>
    </w:p>
    <w:p>
      <w:pPr>
        <w:spacing w:after="180"/>
        <w:jc w:val="both"/>
      </w:pPr>
      <w:r>
        <w:t xml:space="preserve">CRM. IT Operations провіжинить їх зі read-only доступом за замовчуванням.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Оригінальний шаблон — </w:t>
      </w:r>
      <w:r>
        <w:rPr>
          <w:rFonts w:ascii="Consolas" w:cs="Consolas" w:eastAsia="Consolas" w:hAnsi="Consolas"/>
        </w:rPr>
        <w:t xml:space="preserve">documents/subcontract-marketing-2026.mdx</w:t>
      </w:r>
      <w:r>
        <w:t xml:space="preserve"> (Sloboda Software GMBH, Feb 2026). Раніше жив у зовнішньому шейрінгу, тепер повністю всередині цього репо.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Marketing (2026)</dc:title>
  <dc:creator>Drafters</dc:creator>
  <dc:description>Exported from Drafters — Договір субпідряду — Marketing (2026)</dc:description>
  <cp:lastModifiedBy>Un-named</cp:lastModifiedBy>
  <cp:revision>1</cp:revision>
  <dcterms:created xsi:type="dcterms:W3CDTF">2026-04-10T12:32:30.117Z</dcterms:created>
  <dcterms:modified xsi:type="dcterms:W3CDTF">2026-04-10T12:32:30.117Z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