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Обмеження відповідальності та індемніфікація (взаємна)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Ентерпрайзи майже завжди просять знизити Max liability до 6 місяців або до фіксованої суми. Погоджуємо тільки після consultation з Head of Delivery. Не робіть самі. — Legal team &lt;/aside&gt;</w:t>
      </w:r>
    </w:p>
    <w:p>
      <w:pPr>
        <w:spacing w:after="180"/>
        <w:jc w:val="both"/>
      </w:pPr>
      <w:r>
        <w:rPr>
          <w:b/>
          <w:bCs/>
        </w:rPr>
        <w:t xml:space="preserve">Взаємна індемніфікація.</w:t>
      </w:r>
      <w:r>
        <w:t xml:space="preserve"> Кожна сторона (як сторона, що відшкодовує) зобов'язується компенсувати іншій стороні (як відшкодовуваній стороні) всі збитки, що виникають з: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будь-якого провадження, ініційованого третьою стороною або</w:t>
      </w:r>
    </w:p>
    <w:p>
      <w:pPr>
        <w:spacing w:after="180"/>
        <w:jc w:val="both"/>
      </w:pPr>
      <w:r>
        <w:t xml:space="preserve">відшкодовуваною стороною; 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умисних порушень або грубої недбалості сторони, що відшкодовує.</w:t>
      </w:r>
    </w:p>
    <w:p>
      <w:pPr>
        <w:spacing w:after="180"/>
        <w:jc w:val="both"/>
      </w:pPr>
      <w:r>
        <w:rPr>
          <w:b/>
          <w:bCs/>
        </w:rPr>
        <w:t xml:space="preserve">Взаємне обмеження відповідальності.</w:t>
      </w:r>
      <w:r>
        <w:t xml:space="preserve"> Жодна зі сторін не несе відповідальності за збитки від порушення договору, які є віддаленими або які не могли бути розумно передбачені при укладенні цього договору.</w:t>
      </w:r>
    </w:p>
    <w:p>
      <w:pPr>
        <w:spacing w:after="180"/>
        <w:jc w:val="both"/>
      </w:pPr>
      <w:r>
        <w:rPr>
          <w:b/>
          <w:bCs/>
        </w:rPr>
        <w:t xml:space="preserve">Максимальна відповідальність.</w:t>
      </w:r>
      <w:r>
        <w:t xml:space="preserve"> Відповідальність Субпідрядника (або Контрактора у клієнтському договорі) за цим договором не перевищує суму винагороди, сплачену за </w:t>
      </w:r>
      <w:r>
        <w:rPr>
          <w:b/>
          <w:bCs/>
        </w:rPr>
        <w:t xml:space="preserve">12 місяців</w:t>
      </w:r>
      <w:r>
        <w:t xml:space="preserve">, що передують даті виникнення відповідної претензії.</w:t>
      </w:r>
    </w:p>
    <w:p>
      <w:pPr>
        <w:pStyle w:val="Heading2"/>
        <w:keepNext/>
        <w:spacing w:after="180" w:before="360"/>
      </w:pPr>
      <w:r>
        <w:t xml:space="preserve">Чому саме ці три елементи</w:t>
      </w:r>
    </w:p>
    <w:p>
      <w:pPr>
        <w:spacing w:after="180"/>
        <w:jc w:val="both"/>
      </w:pPr>
      <w:r>
        <w:t xml:space="preserve">Цей пункт складається з трьох шарів захисту, що працюють разом: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Взаємна індемніфікація</w:t>
      </w:r>
      <w:r>
        <w:t xml:space="preserve"> — покриває позови від третіх сторін</w:t>
      </w:r>
    </w:p>
    <w:p>
      <w:pPr>
        <w:spacing w:after="180"/>
        <w:jc w:val="both"/>
      </w:pPr>
      <w:r>
        <w:t xml:space="preserve">(наприклад, клієнт судиться з нами за наше програмне забезпечення; ми маємо змогу перекласти відшкодування на субпідрядника, якщо це його код спричинив проблему).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Взаємне обмеження</w:t>
      </w:r>
      <w:r>
        <w:t xml:space="preserve"> — виключає спекулятивні збитки</w:t>
      </w:r>
    </w:p>
    <w:p>
      <w:pPr>
        <w:spacing w:after="180"/>
        <w:jc w:val="both"/>
      </w:pPr>
      <w:r>
        <w:t xml:space="preserve">(наприклад, «ми втратили контракт на $10M через вашу затримку у 2 дні» — такі непередбачувані наслідки не покриваються).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Стеля відповідальності</w:t>
      </w:r>
      <w:r>
        <w:t xml:space="preserve"> — жорстка верхня межа будь-якої</w:t>
      </w:r>
    </w:p>
    <w:p>
      <w:pPr>
        <w:spacing w:after="180"/>
        <w:jc w:val="both"/>
      </w:pPr>
      <w:r>
        <w:t xml:space="preserve">відповідальності, прив'язана до реальних грошей, що рухалися між сторонами.</w:t>
      </w:r>
    </w:p>
    <w:p>
      <w:pPr>
        <w:pStyle w:val="Heading2"/>
        <w:keepNext/>
        <w:spacing w:after="180" w:before="360"/>
      </w:pPr>
      <w:r>
        <w:t xml:space="preserve">Чому 12 місяців</w:t>
      </w:r>
    </w:p>
    <w:p>
      <w:pPr>
        <w:spacing w:after="180"/>
        <w:jc w:val="both"/>
      </w:pPr>
      <w:r>
        <w:t xml:space="preserve">Це галузевий стандарт у IT-сервісах. Логіка проста: відповідальність має бути пропорційна розміру співпраці. Якщо ми заплатили субпідряднику $100k за рік, його максимальна відповідальність — $100k. Не $1M, не $50k. Це передбачувано і симетрично.</w:t>
      </w:r>
    </w:p>
    <w:p>
      <w:pPr>
        <w:spacing w:after="180"/>
        <w:jc w:val="both"/>
      </w:pPr>
      <w:r>
        <w:t xml:space="preserve">Деякі клієнти намагаються зменшити стелю до 3–6 місяців або до фіксованої суми. У таких випадках треба розуміти, чи це зниження відповідає вартості потенційних ризиків конкретного проєкту.</w:t>
      </w:r>
    </w:p>
    <w:p>
      <w:pPr>
        <w:pStyle w:val="Heading2"/>
        <w:keepNext/>
        <w:spacing w:after="180" w:before="360"/>
      </w:pPr>
      <w:r>
        <w:t xml:space="preserve">Що цей пункт НЕ покриває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Порушення прав інтелектуальної власності.</w:t>
      </w:r>
      <w:r>
        <w:t xml:space="preserve"> Якщо ми передали</w:t>
      </w:r>
    </w:p>
    <w:p>
      <w:pPr>
        <w:spacing w:after="180"/>
        <w:jc w:val="both"/>
      </w:pPr>
      <w:r>
        <w:t xml:space="preserve">клієнту код із GPL-залежністю і клієнт отримав позов від Free Software Foundation — наша стеля у 12 місяців винагороди </w:t>
      </w:r>
      <w:r>
        <w:rPr>
          <w:b/>
          <w:bCs/>
        </w:rPr>
        <w:t xml:space="preserve">не</w:t>
      </w:r>
      <w:r>
        <w:t xml:space="preserve"> обмежує відповідальність за IP-порушення. Це окрема категорія ризику.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Розголошення конфіденційної інформації.</w:t>
      </w:r>
      <w:r>
        <w:t xml:space="preserve"> Порушення</w:t>
      </w:r>
    </w:p>
    <w:p>
      <w:pPr>
        <w:spacing w:after="180"/>
        <w:jc w:val="both"/>
      </w:pPr>
      <w:r>
        <w:t xml:space="preserve">конфіденційності часто виходить за межі взаємного обмеження, бо збитки тут «віддалені за визначенням» — клієнт не може точно обрахувати, скільки коштував витік.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Умисні порушення.</w:t>
      </w:r>
      <w:r>
        <w:t xml:space="preserve"> Умисна поведінка (willful misconduct) не</w:t>
      </w:r>
    </w:p>
    <w:p>
      <w:pPr>
        <w:spacing w:after="180"/>
        <w:jc w:val="both"/>
      </w:pPr>
      <w:r>
        <w:t xml:space="preserve">обмежується стелею. Це імперативна норма у багатьох юрисдикціях і прямо записана в пункті індемніфікації.</w:t>
      </w:r>
    </w:p>
    <w:p>
      <w:pPr>
        <w:pStyle w:val="Heading2"/>
        <w:keepNext/>
        <w:spacing w:after="180" w:before="360"/>
      </w:pPr>
      <w:r>
        <w:t xml:space="preserve">Де використовується</w:t>
      </w:r>
    </w:p>
    <w:p>
      <w:pPr>
        <w:spacing w:after="180"/>
        <w:jc w:val="both"/>
      </w:pPr>
      <w:r>
        <w:t xml:space="preserve">Ідентичний або майже ідентичний пункт присутній 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Sloboda 2026</w:t>
      </w:r>
    </w:p>
    <w:p>
      <w:pPr>
        <w:spacing w:after="180"/>
        <w:jc w:val="both"/>
      </w:pPr>
      <w:r>
        <w:t xml:space="preserve">Це другий справжній наскрізний пункт (після Dispute Resolution UK). Зміна стелі з 12 до 6 місяців — одне редагування, чотири договори оновлюються.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Обмеження відповідальності та індемніфікація (взаємна)</dc:title>
  <dc:creator>Drafters</dc:creator>
  <dc:description>Exported from Drafters — Обмеження відповідальності та індемніфікація (взаємна)</dc:description>
  <cp:lastModifiedBy>Un-named</cp:lastModifiedBy>
  <cp:revision>1</cp:revision>
  <dcterms:created xsi:type="dcterms:W3CDTF">2026-04-10T12:32:30.167Z</dcterms:created>
  <dcterms:modified xsi:type="dcterms:W3CDTF">2026-04-10T12:32:30.167Z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