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80"/>
        <w:jc w:val="both"/>
      </w:pPr>
      <w:r>
        <w:t xml:space="preserve">(Каліфорнія, частини ЄС) такі обмеження можуть бути неenforceable.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"Independently requests" — створює прозорість, але фактично це</w:t>
      </w:r>
    </w:p>
    <w:p>
      <w:pPr>
        <w:spacing w:after="180"/>
        <w:jc w:val="both"/>
      </w:pPr>
      <w:r>
        <w:t xml:space="preserve">важко відстежити. На практиці працює як moral obligation.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субпідрядник сам бажає перейти до нас у штат — це не</w:t>
      </w:r>
    </w:p>
    <w:p>
      <w:pPr>
        <w:spacing w:after="180"/>
        <w:jc w:val="both"/>
      </w:pPr>
      <w:r>
        <w:t xml:space="preserve">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2026-04-10T12:32:30.160Z</dcterms:created>
  <dcterms:modified xsi:type="dcterms:W3CDTF">2026-04-10T12:32:30.160Z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