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Перегляд ставки</w:t>
      </w:r>
    </w:p>
    <w:p>
      <w:pPr>
        <w:spacing w:after="180"/>
        <w:jc w:val="both"/>
      </w:pPr>
      <w:r>
        <w:rPr>
          <w:b/>
          <w:bCs/>
        </w:rPr>
        <w:t xml:space="preserve">Перегляд ставки.</w:t>
      </w:r>
      <w:r>
        <w:t xml:space="preserve"> Субпідрядник може переглядати ставки не частіше ніж раз на </w:t>
      </w:r>
      <w:r>
        <w:rPr>
          <w:b/>
          <w:bCs/>
        </w:rPr>
        <w:t xml:space="preserve">12 місяців</w:t>
      </w:r>
      <w:r>
        <w:t xml:space="preserve">. Підвищення не може перевищувати </w:t>
      </w:r>
      <w:r>
        <w:rPr>
          <w:b/>
          <w:bCs/>
        </w:rPr>
        <w:t xml:space="preserve">10% річних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Практичні 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Перегляд — не автоматичний. Субпідрядник ініціює його листом.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 можемо не погодитися на підвищення — тоді сторони переходять</w:t>
      </w:r>
    </w:p>
    <w:p>
      <w:pPr>
        <w:spacing w:after="180"/>
        <w:jc w:val="both"/>
      </w:pPr>
      <w:r>
        <w:t xml:space="preserve">до переговорів або завершують договір на поточній ставці.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 клієнтському Services Agreement стеля часто вища — до 12%.</w:t>
      </w:r>
    </w:p>
    <w:p>
      <w:pPr>
        <w:spacing w:after="180"/>
        <w:jc w:val="both"/>
      </w:pPr>
      <w:r>
        <w:t xml:space="preserve">У субпідрядних — 10%. Це свідома різниця, яка захищає маржу.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ставка регулярно переглядається «по ринку» без цієї стелі —</w:t>
      </w:r>
    </w:p>
    <w:p>
      <w:pPr>
        <w:spacing w:after="180"/>
        <w:jc w:val="both"/>
      </w:pPr>
      <w:r>
        <w:t xml:space="preserve">ми втрачаємо контроль над собівартістю проєкту.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Перегляд ставки</dc:title>
  <dc:creator>Drafters</dc:creator>
  <dc:description>Exported from Drafters — Перегляд ставки</dc:description>
  <cp:lastModifiedBy>Un-named</cp:lastModifiedBy>
  <cp:revision>1</cp:revision>
  <dcterms:created xsi:type="dcterms:W3CDTF">2026-04-10T12:32:30.155Z</dcterms:created>
  <dcterms:modified xsi:type="dcterms:W3CDTF">2026-04-10T12:32:30.155Z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