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Онбординг субпідрядника (Marketing)</w:t>
      </w:r>
    </w:p>
    <w:p>
      <w:pPr>
        <w:spacing w:after="180"/>
        <w:jc w:val="both"/>
      </w:pPr>
      <w:r>
        <w:t xml:space="preserve">Залучення зовнішнього маркетолога на проект: digital, performance, strategic planning, campaign management, ads copy, SEO. Найчастіше йдеться про короткі (2–6 місяців) engagementи, коли нам потрібна специфічна експертиза яку ми не хочемо або не можемо найняти в штат.</w:t>
      </w:r>
    </w:p>
    <w:p>
      <w:pPr>
        <w:pStyle w:val="Heading2"/>
        <w:keepNext/>
        <w:spacing w:after="180" w:before="360"/>
      </w:pPr>
      <w:r>
        <w:t xml:space="preserve">Специфіка маркетинг-онбордингу</w:t>
      </w:r>
    </w:p>
    <w:p>
      <w:pPr>
        <w:spacing w:after="180"/>
        <w:jc w:val="both"/>
      </w:pPr>
      <w:r>
        <w:t xml:space="preserve">На відміну від онбордингу розробника та PM: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Є додатковий крок 3</w:t>
      </w:r>
      <w:r>
        <w:t xml:space="preserve"> — </w:t>
      </w:r>
      <w:r>
        <w:rPr>
          <w:b/>
          <w:bCs/>
        </w:rPr>
        <w:t xml:space="preserve">trial-бриф</w:t>
      </w:r>
      <w:r>
        <w:t xml:space="preserve">. Маркетологів складно</w:t>
      </w:r>
    </w:p>
    <w:p>
      <w:pPr>
        <w:spacing w:after="180"/>
        <w:jc w:val="both"/>
      </w:pPr>
      <w:r>
        <w:t xml:space="preserve">оцінити тільки по CV і інтерв'ю. Короткий оплачуваний trial (наприклад, "напишіть positioning-memo для нашого нового продукту") значно точніший за тестове завдання.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Ставки в EUR</w:t>
      </w:r>
      <w:r>
        <w:t xml:space="preserve">, а не в USD. Більшість наших маркетинг-</w:t>
      </w:r>
    </w:p>
    <w:p>
      <w:pPr>
        <w:spacing w:after="180"/>
        <w:jc w:val="both"/>
      </w:pPr>
      <w:r>
        <w:t xml:space="preserve">субпідрядників — з ЄС.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Access provisioning</w:t>
      </w:r>
      <w:r>
        <w:t xml:space="preserve"> включає чутливі read-only доступи до</w:t>
      </w:r>
    </w:p>
    <w:p>
      <w:pPr>
        <w:spacing w:after="180"/>
        <w:jc w:val="both"/>
      </w:pPr>
      <w:r>
        <w:t xml:space="preserve">analytics і ads accounts. IT Ops має окремий протокол для цього.</w:t>
      </w:r>
    </w:p>
    <w:p>
      <w:pPr>
        <w:pStyle w:val="Heading2"/>
        <w:keepNext/>
        <w:spacing w:after="180" w:before="360"/>
      </w:pPr>
      <w:r>
        <w:t xml:space="preserve">Договір</w:t>
      </w:r>
    </w:p>
    <w:p>
      <w:pPr>
        <w:spacing w:after="180"/>
        <w:jc w:val="both"/>
      </w:pPr>
      <w:r>
        <w:t xml:space="preserve">Єдиний документ, що використовується — Subcontract Marketing 2026. Він композований з тих самих повторно використовуваних пунктів, що й Subcontract PM 2026: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Dispute — 5 робочих днів на оспорення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Increase — до 10% раз на 12 місяців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 Assignment (services) — спрощена версія для не-кодових робіт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Non-solicitation — 1 рік після завершення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Non-compete — 1 рік, щодо відомих клієнтів</w:t>
      </w:r>
    </w:p>
    <w:p>
      <w:pPr>
        <w:spacing w:after="180"/>
        <w:jc w:val="both"/>
      </w:pPr>
      <w:r>
        <w:rPr>
          <w:b/>
          <w:bCs/>
        </w:rPr>
        <w:t xml:space="preserve">Зверніть увагу</w:t>
      </w:r>
      <w:r>
        <w:t xml:space="preserve">: IP-пункт — той самий, що в договорі для PM, і він </w:t>
      </w:r>
      <w:r>
        <w:rPr>
          <w:b/>
          <w:bCs/>
        </w:rPr>
        <w:t xml:space="preserve">інший</w:t>
      </w:r>
      <w:r>
        <w:t xml:space="preserve"> від того, що у Dev-версії. Dev-версія містить розгорнутий GPL/AGPL copyleft warning, маркетинг-версія — ні. Це відображає реальну різницю ризиків: маркетолог не написать код, який заразить нашу кодову базу.</w:t>
      </w:r>
    </w:p>
    <w:p>
      <w:pPr>
        <w:pStyle w:val="Heading2"/>
        <w:keepNext/>
        <w:spacing w:after="180" w:before="360"/>
      </w:pPr>
      <w:r>
        <w:t xml:space="preserve">Що зазвичай йде не так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Attribution credit.</w:t>
      </w:r>
      <w:r>
        <w:t xml:space="preserve"> Якщо маркетолог привів ліда — хто</w:t>
      </w:r>
    </w:p>
    <w:p>
      <w:pPr>
        <w:spacing w:after="180"/>
        <w:jc w:val="both"/>
      </w:pPr>
      <w:r>
        <w:t xml:space="preserve">"володіє" цим контактом після завершення договору? Фіксуйте </w:t>
      </w:r>
      <w:r>
        <w:rPr>
          <w:b/>
          <w:bCs/>
        </w:rPr>
        <w:t xml:space="preserve">на старті</w:t>
      </w:r>
      <w:r>
        <w:t xml:space="preserve">, а не в кінці. Інакше ризик конфлікту.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Performance bonus плутанина.</w:t>
      </w:r>
      <w:r>
        <w:t xml:space="preserve"> Інколи маркетологи очікують</w:t>
      </w:r>
    </w:p>
    <w:p>
      <w:pPr>
        <w:spacing w:after="180"/>
        <w:jc w:val="both"/>
      </w:pPr>
      <w:r>
        <w:t xml:space="preserve">share у revenue від приведених клієнтів. Це </w:t>
      </w:r>
      <w:r>
        <w:rPr>
          <w:b/>
          <w:bCs/>
        </w:rPr>
        <w:t xml:space="preserve">не</w:t>
      </w:r>
      <w:r>
        <w:t xml:space="preserve"> входить у subcontract — це окремий referral agreement. Пояснюйте різницю явно.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export при офбордингу.</w:t>
      </w:r>
      <w:r>
        <w:t xml:space="preserve"> Маркетолог за час роботи</w:t>
      </w:r>
    </w:p>
    <w:p>
      <w:pPr>
        <w:spacing w:after="180"/>
        <w:jc w:val="both"/>
      </w:pPr>
      <w:r>
        <w:t xml:space="preserve">назбирує спостереження, A/B результати, інсайти. Без явної вимоги експортувати це в наш репозиторій знань — воно йде з ним. Додавайте в handover checklist.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Brand voice drift.</w:t>
      </w:r>
      <w:r>
        <w:t xml:space="preserve"> Маркетолог-субпідрядник працює паралельно</w:t>
      </w:r>
    </w:p>
    <w:p>
      <w:pPr>
        <w:spacing w:after="180"/>
        <w:jc w:val="both"/>
      </w:pPr>
      <w:r>
        <w:t xml:space="preserve">з іншими клієнтами. Якщо не зафіксувати brand guidelines на старті, tone-of-voice у його роботі для нас може відрізнятися від тієї, що для інших клієнтів.</w:t>
      </w:r>
    </w:p>
    <w:p>
      <w:pPr>
        <w:pStyle w:val="Heading2"/>
        <w:keepNext/>
        <w:spacing w:after="180" w:before="360"/>
      </w:pPr>
      <w:r>
        <w:t xml:space="preserve">Пов'язані процеси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 онбординг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 онбординг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tracking: як вимірювати ROI роботи маркетинг-</w:t>
      </w:r>
    </w:p>
    <w:p>
      <w:pPr>
        <w:spacing w:after="180"/>
        <w:jc w:val="both"/>
      </w:pPr>
      <w:r>
        <w:t xml:space="preserve">субпідрядника (ще не описано)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voice для зовнішніх виконавців (ще не описано)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Онбординг субпідрядника (Marketing)</dc:title>
  <dc:creator>Drafters</dc:creator>
  <dc:description>Exported from Drafters — Онбординг субпідрядника (Marketing)</dc:description>
  <cp:lastModifiedBy>Un-named</cp:lastModifiedBy>
  <cp:revision>1</cp:revision>
  <dcterms:created xsi:type="dcterms:W3CDTF">2026-04-10T12:32:29.934Z</dcterms:created>
  <dcterms:modified xsi:type="dcterms:W3CDTF">2026-04-10T12:32:29.934Z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