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6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6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6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6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6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spacing w:after="160" w:before="28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60"/>
        <w:jc w:val="both"/>
      </w:pPr>
      <w:r>
        <w:t xml:space="preserve">триває, поки ця інформація залишається комерційною таємницею. - </w:t>
      </w:r>
      <w:r>
        <w:rPr>
          <w:b/>
          <w:bCs/>
        </w:rPr>
        <w:t xml:space="preserve">Для іншої Confidential Information</w:t>
      </w:r>
      <w:r>
        <w:t xml:space="preserve"> — 3 роки з Effective Date договору.</w:t>
      </w:r>
    </w:p>
    <w:p>
      <w:pPr>
        <w:pStyle w:val="Heading2"/>
        <w:spacing w:after="160" w:before="280"/>
      </w:pPr>
      <w:r>
        <w:t xml:space="preserve">Коли використовувати цей пункт</w:t>
      </w:r>
    </w:p>
    <w:p>
      <w:pPr>
        <w:spacing w:after="16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60"/>
        <w:jc w:val="both"/>
      </w:pPr>
      <w:r>
        <w:t xml:space="preserve">з додатковими процедурами (return/destruction, required disclosure, permitted disclosure). - Може посилатися із Services Agreement як додатковий рівень 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spacing w:after="160" w:before="28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60"/>
        <w:jc w:val="both"/>
      </w:pPr>
      <w:r>
        <w:t xml:space="preserve">продуктів. - </w:t>
      </w: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 публічних джерел. - </w:t>
      </w: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 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2026-04-09T21:37:41.999Z</dcterms:created>
  <dcterms:modified xsi:type="dcterms:W3CDTF">2026-04-09T21:37:41.999Z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