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60"/>
        <w:jc w:val="both"/>
      </w:pPr>
      <w:r>
        <w:t xml:space="preserve">і пішов напряму". - Обмеження стосується ТІЛЬКИ клієнтів, про яких субпідрядник дізнався в ході виконання нашого договору. Інші його клієнти — не наша справа. - Разом із Non-solicitation створює повний periметр захисту комерційних відносин. - В ЄС і США такі обмеження мають бути </w:t>
      </w:r>
      <w:r>
        <w:rPr>
          <w:b/>
          <w:bCs/>
        </w:rPr>
        <w:t xml:space="preserve">розумними за терміном та географією</w:t>
      </w:r>
      <w:r>
        <w:t xml:space="preserve">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2026-04-09T21:37:41.936Z</dcterms:created>
  <dcterms:modified xsi:type="dcterms:W3CDTF">2026-04-09T21:37:41.936Z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