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(послуги)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6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spacing w:after="160" w:before="280"/>
      </w:pPr>
      <w:r>
        <w:t xml:space="preserve">Коли використовувати</w:t>
      </w:r>
    </w:p>
    <w:p>
      <w:pPr>
        <w:spacing w:after="16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spacing w:after="160" w:before="280"/>
      </w:pPr>
      <w:r>
        <w:t xml:space="preserve">Чим відрізняється від IP Assignment (dev)</w:t>
      </w:r>
    </w:p>
    <w:p>
      <w:pPr>
        <w:spacing w:after="16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spacing w:after="160" w:before="28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60"/>
        <w:jc w:val="both"/>
      </w:pPr>
      <w:r>
        <w:t xml:space="preserve">без ліцензії (фотобанки, шрифти, музика тощо)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(послуги)</dc:title>
  <dc:creator>Drafters</dc:creator>
  <dc:description>Exported from Drafters — Передача прав ІВ (послуги)</dc:description>
  <cp:lastModifiedBy>Un-named</cp:lastModifiedBy>
  <cp:revision>1</cp:revision>
  <dcterms:created xsi:type="dcterms:W3CDTF">2026-04-09T21:37:41.954Z</dcterms:created>
  <dcterms:modified xsi:type="dcterms:W3CDTF">2026-04-09T21:37:41.954Z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