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</w:t>
      </w:r>
    </w:p>
    <w:p>
      <w:pPr>
        <w:spacing w:after="16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6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spacing w:after="160" w:before="28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короткий термін. Якщо ваш процес апрувів</w:t>
      </w:r>
    </w:p>
    <w:p>
      <w:pPr>
        <w:spacing w:after="160"/>
        <w:jc w:val="both"/>
      </w:pPr>
      <w:r>
        <w:t xml:space="preserve">довший — погодьте 10 днів у тексті. - "Undisputed by the Contractor within 5 business days ... considered accepted" — тихе прийняття. Якщо не встигли оспорити — сплачуйте. - Цей пункт працює разом із Rate Increase та пунктом Invoicing у Key Terms таблиці.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</dc:title>
  <dc:creator>Drafters</dc:creator>
  <dc:description>Exported from Drafters — Розв'язання платіжних спорів</dc:description>
  <cp:lastModifiedBy>Un-named</cp:lastModifiedBy>
  <cp:revision>1</cp:revision>
  <dcterms:created xsi:type="dcterms:W3CDTF">2026-04-09T21:37:41.948Z</dcterms:created>
  <dcterms:modified xsi:type="dcterms:W3CDTF">2026-04-09T21:37:41.948Z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