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60"/>
        <w:jc w:val="both"/>
      </w:pPr>
      <w:r>
        <w:t xml:space="preserve">"Software consulting and development" 2. </w:t>
      </w:r>
      <w:r>
        <w:rPr>
          <w:b/>
          <w:bCs/>
        </w:rPr>
        <w:t xml:space="preserve">IP-пункт</w:t>
      </w:r>
      <w:r>
        <w:t xml:space="preserve"> — використовує спрощений варіант без розгорнутого copyleft-застереження (бо PM не пишуть код)</w:t>
      </w:r>
    </w:p>
    <w:p>
      <w:pPr>
        <w:spacing w:after="16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spacing w:after="160" w:before="28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60"/>
        <w:jc w:val="both"/>
      </w:pPr>
      <w:r>
        <w:t xml:space="preserve">на 10–20%, бо позиція рідкісніша і гірше масштабується. - </w:t>
      </w:r>
      <w:r>
        <w:rPr>
          <w:b/>
          <w:bCs/>
        </w:rPr>
        <w:t xml:space="preserve">Метрики інші.</w:t>
      </w:r>
      <w:r>
        <w:t xml:space="preserve"> PM вимірюємо не годинами code review, а регулярністю standup-ів, здоров'ям беклогу, SLA на комунікацію. - </w:t>
      </w: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 потребує 2-4 тижні knowledge transfer. Тому в реальному контракті важливо акцентувати Non-solicitation. - </w:t>
      </w: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 і це складніше контролювати ніж у девів з код-ревʼю. Обговорюйте явно на старті.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6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2026-04-09T21:37:41.970Z</dcterms:created>
  <dcterms:modified xsi:type="dcterms:W3CDTF">2026-04-09T21:37:41.970Z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