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Sloboda Software GMBH (2026)</w:t>
      </w:r>
    </w:p>
    <w:p>
      <w:pPr>
        <w:spacing w:after="16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Sloboda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6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spacing w:after="160" w:before="280"/>
      </w:pPr>
      <w:r>
        <w:t xml:space="preserve">Ключові параметри, у яких цей договір відрізняється від субпідрядних</w:t>
      </w:r>
    </w:p>
    <w:p>
      <w:pPr>
        <w:spacing w:after="160"/>
        <w:jc w:val="both"/>
      </w:pPr>
      <w:r>
        <w:t xml:space="preserve">| Параметр | Services Agreement | Subcontract Dev 2026 | | :---- | :---- | :---- | | Платіжний цикл | </w:t>
      </w:r>
      <w:r>
        <w:rPr>
          <w:b/>
          <w:bCs/>
        </w:rPr>
        <w:t xml:space="preserve">Prepayment</w:t>
      </w:r>
      <w:r>
        <w:t xml:space="preserve"> (передоплата) | Post-payment | | Invoicing період | 15 днів на оплату | 21 день | | Rate increase cap | </w:t>
      </w:r>
      <w:r>
        <w:rPr>
          <w:b/>
          <w:bCs/>
        </w:rPr>
        <w:t xml:space="preserve">12%</w:t>
      </w:r>
      <w:r>
        <w:t xml:space="preserve"> річних | 10% річних | | Overtime | 2× rate (з approval) | Без множника, тільки з approval | | Late payments | </w:t>
      </w:r>
      <w:r>
        <w:rPr>
          <w:b/>
          <w:bCs/>
        </w:rPr>
        <w:t xml:space="preserve">0.5% / день</w:t>
      </w:r>
      <w:r>
        <w:t xml:space="preserve"> відсотки | — | | IP transfer timing | Rolling, під час оплат | Exclusively after full payment | | На розірвання | Передаємо all finished + unfinished paid | — | | Maximum liability | Fees за останні 6–12 міс. | Fees за останні 12 міс. |</w:t>
      </w:r>
    </w:p>
    <w:p>
      <w:pPr>
        <w:spacing w:after="160"/>
        <w:jc w:val="both"/>
      </w:pPr>
      <w:r>
        <w:rPr>
          <w:b/>
          <w:bCs/>
        </w:rPr>
        <w:t xml:space="preserve">Свідома differenceс у cap на rate increase</w:t>
      </w:r>
      <w:r>
        <w:t xml:space="preserve"> — 12% client-facing vs 10% subcontract.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spacing w:after="160" w:before="280"/>
      </w:pPr>
      <w:r>
        <w:t xml:space="preserve">Цей документ — частина workflow клієнтського онбордингу</w:t>
      </w:r>
    </w:p>
    <w:p>
      <w:pPr>
        <w:spacing w:after="16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spacing w:after="160" w:before="280"/>
      </w:pPr>
      <w:r>
        <w:t xml:space="preserve">Що зазвичай обговорюється на переговорах</w:t>
      </w:r>
    </w:p>
    <w:p>
      <w:pPr>
        <w:spacing w:after="16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60"/>
        <w:jc w:val="both"/>
      </w:pPr>
      <w:r>
        <w:t xml:space="preserve">"не наш процес" - </w:t>
      </w:r>
      <w:r>
        <w:rPr>
          <w:b/>
          <w:bCs/>
        </w:rPr>
        <w:t xml:space="preserve">Rolling → milestone IP transfer</w:t>
      </w:r>
      <w:r>
        <w:t xml:space="preserve"> — поступовий transfer по milestone, не по платежу - </w:t>
      </w:r>
      <w:r>
        <w:rPr>
          <w:b/>
          <w:bCs/>
        </w:rPr>
        <w:t xml:space="preserve">Maximum liability cap</w:t>
      </w:r>
      <w:r>
        <w:t xml:space="preserve"> — фіксована сума (€50k, €100k), не % від fees - </w:t>
      </w: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6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Services agreement for client — Sloboda Software GMBH (Aug 2025, reviewed by Legal).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 (2026)</dc:title>
  <dc:creator>Drafters</dc:creator>
  <dc:description>Exported from Drafters — Services Agreement — Sloboda Software GMBH (2026)</dc:description>
  <cp:lastModifiedBy>Un-named</cp:lastModifiedBy>
  <cp:revision>1</cp:revision>
  <dcterms:created xsi:type="dcterms:W3CDTF">2026-04-09T21:37:41.834Z</dcterms:created>
  <dcterms:modified xsi:type="dcterms:W3CDTF">2026-04-09T21:37:41.834Z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