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6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 як у Dev/PM. Це свідома differenceс: більшість маркетингових субпідрядників у нас — з ЄС, де EUR природніший.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60"/>
        <w:jc w:val="both"/>
      </w:pPr>
      <w:r>
        <w:t xml:space="preserve">marketing planning, campaign management, performance marketing, and related consulting services" 2. </w:t>
      </w:r>
      <w:r>
        <w:rPr>
          <w:b/>
          <w:bCs/>
        </w:rPr>
        <w:t xml:space="preserve">Attachment A</w:t>
      </w:r>
      <w:r>
        <w:t xml:space="preserve"> — rate sheet у EUR замість USD, явно включає роль "Digital Marketing Specialist" 3. </w:t>
      </w:r>
      <w:r>
        <w:rPr>
          <w:b/>
          <w:bCs/>
        </w:rPr>
        <w:t xml:space="preserve">Bank details у підписі</w:t>
      </w:r>
      <w:r>
        <w:t xml:space="preserve"> — включає Bank / Account Number / SWIFT для зручності виплат через SEPA</w:t>
      </w:r>
    </w:p>
    <w:p>
      <w:pPr>
        <w:spacing w:after="16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spacing w:after="160" w:before="28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60"/>
        <w:jc w:val="both"/>
      </w:pPr>
      <w:r>
        <w:t xml:space="preserve">кампаніях, креативи, performance-дашборди, ads copy, SEO audits, стратегічні документи. - </w:t>
      </w:r>
      <w:r>
        <w:rPr>
          <w:b/>
          <w:bCs/>
        </w:rPr>
        <w:t xml:space="preserve">Publicity</w:t>
      </w:r>
      <w:r>
        <w:t xml:space="preserve"> — особливо важливий пункт для маркетингу, бо маркетологи часто хочуть додати нас у своє портфоліо. Договір дозволяє це "for marketing purpose only" — тобто case study без розкриття sensitive client info. - </w:t>
      </w:r>
      <w:r>
        <w:rPr>
          <w:b/>
          <w:bCs/>
        </w:rPr>
        <w:t xml:space="preserve">Overtime</w:t>
      </w:r>
      <w:r>
        <w:t xml:space="preserve"> — рідкісніше в маркетингу, але буває при launch дедлайнах. Потребує письмового approval.</w:t>
      </w:r>
    </w:p>
    <w:p>
      <w:pPr>
        <w:pStyle w:val="Heading2"/>
        <w:spacing w:after="160" w:before="28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60"/>
        <w:jc w:val="both"/>
      </w:pPr>
      <w:r>
        <w:t xml:space="preserve">платящих клієнтів, обговорюємо додатково як окремий payout. Це не частина subcontract — це окремий referral memo. - </w:t>
      </w:r>
      <w:r>
        <w:rPr>
          <w:b/>
          <w:bCs/>
        </w:rPr>
        <w:t xml:space="preserve">Attribution credit</w:t>
      </w:r>
      <w:r>
        <w:t xml:space="preserve"> — хто "володіє" контактом, якщо маркетолог привів лід. Фіксуйте на старті. - </w:t>
      </w:r>
      <w:r>
        <w:rPr>
          <w:b/>
          <w:bCs/>
        </w:rPr>
        <w:t xml:space="preserve">Data access</w:t>
      </w:r>
      <w:r>
        <w:t xml:space="preserve"> — маркетологу потрібні GA4, ads accounts, CRM. IT Operations провіжинить їх зі read-only доступом за замовчуванням.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Оригінальний шаблон: Subcontract agreement 2026 marketing services (Sloboda Software GMBH, Feb 2026).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2026-04-09T21:37:41.859Z</dcterms:created>
  <dcterms:modified xsi:type="dcterms:W3CDTF">2026-04-09T21:37:41.859Z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