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100"/>
        <w:jc w:val="center"/>
      </w:pPr>
      <w:r>
        <w:rPr>
          <w:rFonts w:ascii="Liberation Serif" w:cs="Liberation Serif" w:eastAsia="Liberation Serif" w:hAnsi="Liberation Serif"/>
          <w:b/>
          <w:bCs/>
          <w:sz w:val="30"/>
          <w:szCs w:val="30"/>
        </w:rPr>
        <w:t xml:space="preserve">WRITING ALCHEMY MOOT COURT 2026</w:t>
      </w:r>
    </w:p>
    <w:p>
      <w:pPr>
        <w:spacing w:before="200"/>
      </w:pPr>
    </w:p>
    <w:p>
      <w:pPr>
        <w:spacing w:after="100"/>
        <w:jc w:val="center"/>
      </w:pPr>
      <w:r>
        <w:rPr>
          <w:rFonts w:ascii="Liberation Serif" w:cs="Liberation Serif" w:eastAsia="Liberation Serif" w:hAnsi="Liberation Serif"/>
          <w:b w:val="false"/>
          <w:bCs w:val="false"/>
          <w:sz w:val="24"/>
          <w:szCs w:val="24"/>
        </w:rPr>
        <w:t xml:space="preserve">_______________</w:t>
      </w:r>
    </w:p>
    <w:p>
      <w:pPr>
        <w:spacing w:before="400"/>
      </w:pPr>
    </w:p>
    <w:p>
      <w:pPr>
        <w:spacing w:after="100"/>
        <w:jc w:val="center"/>
      </w:pPr>
      <w:r>
        <w:rPr>
          <w:rFonts w:ascii="Liberation Serif" w:cs="Liberation Serif" w:eastAsia="Liberation Serif" w:hAnsi="Liberation Serif"/>
          <w:b/>
          <w:bCs/>
          <w:sz w:val="28"/>
          <w:szCs w:val="28"/>
        </w:rPr>
        <w:t xml:space="preserve">WRITTEN SUBMISSIONS</w:t>
      </w:r>
    </w:p>
    <w:p>
      <w:pPr>
        <w:spacing w:after="100"/>
        <w:jc w:val="center"/>
      </w:pPr>
      <w:r>
        <w:rPr>
          <w:rFonts w:ascii="Liberation Serif" w:cs="Liberation Serif" w:eastAsia="Liberation Serif" w:hAnsi="Liberation Serif"/>
          <w:b/>
          <w:bCs/>
          <w:sz w:val="28"/>
          <w:szCs w:val="28"/>
        </w:rPr>
        <w:t xml:space="preserve">ON BEHALF OF SCRIPTUM</w:t>
      </w:r>
    </w:p>
    <w:p>
      <w:pPr>
        <w:spacing w:after="100"/>
        <w:jc w:val="center"/>
      </w:pPr>
      <w:r>
        <w:rPr>
          <w:rFonts w:ascii="Liberation Serif" w:cs="Liberation Serif" w:eastAsia="Liberation Serif" w:hAnsi="Liberation Serif"/>
          <w:b w:val="false"/>
          <w:bCs w:val="false"/>
          <w:sz w:val="26"/>
          <w:szCs w:val="26"/>
        </w:rPr>
        <w:t xml:space="preserve">(APPLICANT)</w:t>
      </w:r>
    </w:p>
    <w:p>
      <w:pPr>
        <w:spacing w:before="800"/>
      </w:pPr>
    </w:p>
    <w:p>
      <w:pPr>
        <w:spacing w:after="100"/>
        <w:jc w:val="center"/>
      </w:pPr>
      <w:r>
        <w:rPr>
          <w:rFonts w:ascii="Liberation Serif" w:cs="Liberation Serif" w:eastAsia="Liberation Serif" w:hAnsi="Liberation Serif"/>
          <w:b/>
          <w:bCs/>
          <w:sz w:val="24"/>
          <w:szCs w:val="24"/>
        </w:rPr>
        <w:t xml:space="preserve">TEAM-ALC-2026</w:t>
      </w:r>
    </w:p>
    <w:p>
      <w:pPr>
        <w:sectPr>
          <w:pgSz w:w="11906" w:h="16838" w:orient="portrait"/>
          <w:pgMar w:top="1440" w:right="1440" w:bottom="1440" w:left="1440" w:header="708" w:footer="708" w:gutter="0"/>
          <w:pgNumType/>
          <w:docGrid w:linePitch="360"/>
        </w:sectPr>
      </w:pPr>
    </w:p>
    <w:p>
      <w:pPr>
        <w:pStyle w:val="Heading1"/>
        <w:spacing w:after="300"/>
        <w:jc w:val="center"/>
      </w:pPr>
      <w:r>
        <w:rPr>
          <w:rFonts w:ascii="Liberation Serif" w:cs="Liberation Serif" w:eastAsia="Liberation Serif" w:hAnsi="Liberation Serif"/>
          <w:b/>
          <w:bCs/>
          <w:sz w:val="26"/>
          <w:szCs w:val="26"/>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ectPr>
          <w:headerReference w:type="default" r:id="rId7"/>
          <w:footerReference w:type="default" r:id="rId8"/>
          <w:pgSz w:w="11906" w:h="16838" w:orient="portrait"/>
          <w:pgMar w:top="1440" w:right="1440" w:bottom="1440" w:left="1440" w:header="708" w:footer="708" w:gutter="0"/>
          <w:pgNumType/>
          <w:docGrid w:linePitch="360"/>
        </w:sectPr>
      </w:pPr>
    </w:p>
    <w:p>
      <w:pPr>
        <w:pStyle w:val="Heading1"/>
        <w:spacing w:after="200" w:before="400"/>
      </w:pPr>
      <w:r>
        <w:rPr>
          <w:rFonts w:ascii="Liberation Serif" w:cs="Liberation Serif" w:eastAsia="Liberation Serif" w:hAnsi="Liberation Serif"/>
          <w:b/>
          <w:bCs/>
          <w:sz w:val="26"/>
          <w:szCs w:val="26"/>
        </w:rPr>
        <w:t xml:space="preserve">I. Introduction</w:t>
      </w:r>
    </w:p>
    <w:p>
      <w:pPr>
        <w:spacing w:after="160"/>
        <w:ind w:left="480"/>
        <w:jc w:val="both"/>
      </w:pPr>
      <w:r>
        <w:rPr>
          <w:rFonts w:ascii="Liberation Serif" w:cs="Liberation Serif" w:eastAsia="Liberation Serif" w:hAnsi="Liberation Serif"/>
          <w:b/>
          <w:bCs/>
          <w:sz w:val="24"/>
          <w:szCs w:val="24"/>
        </w:rPr>
        <w:t xml:space="preserve">1.	</w:t>
      </w:r>
      <w:r>
        <w:rPr>
          <w:rFonts w:ascii="Liberation Serif" w:cs="Liberation Serif" w:eastAsia="Liberation Serif" w:hAnsi="Liberation Serif"/>
          <w:sz w:val="24"/>
          <w:szCs w:val="24"/>
        </w:rPr>
        <w:t xml:space="preserve">SCRIPTUM respectfully submits that the Scriptorian Data Protection Authority (‘the DPA’) erred in its decision of 12 February 2026, and that the preliminary reference questions should be answered in SCRIPTUM’s favour.</w:t>
      </w:r>
    </w:p>
    <w:p>
      <w:pPr>
        <w:spacing w:after="160"/>
        <w:ind w:left="480"/>
        <w:jc w:val="both"/>
      </w:pPr>
      <w:r>
        <w:rPr>
          <w:rFonts w:ascii="Liberation Serif" w:cs="Liberation Serif" w:eastAsia="Liberation Serif" w:hAnsi="Liberation Serif"/>
          <w:b/>
          <w:bCs/>
          <w:sz w:val="24"/>
          <w:szCs w:val="24"/>
        </w:rPr>
        <w:t xml:space="preserve">2.	</w:t>
      </w:r>
      <w:r>
        <w:rPr>
          <w:rFonts w:ascii="Liberation Serif" w:cs="Liberation Serif" w:eastAsia="Liberation Serif" w:hAnsi="Liberation Serif"/>
          <w:sz w:val="24"/>
          <w:szCs w:val="24"/>
        </w:rPr>
        <w:t xml:space="preserve">SCRIPTUM is a non-profit educational organisation founded in 2021 whose mission is to train professionals — lawyers, medical practitioners, financial analysts, and engineers — in working with large language models. On 15 October 2025, SCRIPTUM held an event at the Scriptorian National University of Law during which 312 participants used the Crucible, an optional web-based training tool, and 312 of them subsequently became Adepts by voluntarily sharing their results on professional networks. The DPA’s decision treats SCRIPTUM’s educational activities as if they were commercial data exploitation, without due regard for the non-commercial, public-interest character of those activities or for the fundamental rights engaged.</w:t>
      </w:r>
    </w:p>
    <w:p>
      <w:pPr>
        <w:spacing w:after="160"/>
        <w:ind w:left="480"/>
        <w:jc w:val="both"/>
      </w:pPr>
      <w:r>
        <w:rPr>
          <w:rFonts w:ascii="Liberation Serif" w:cs="Liberation Serif" w:eastAsia="Liberation Serif" w:hAnsi="Liberation Serif"/>
          <w:b/>
          <w:bCs/>
          <w:sz w:val="24"/>
          <w:szCs w:val="24"/>
        </w:rPr>
        <w:t xml:space="preserve">3.	</w:t>
      </w:r>
      <w:r>
        <w:rPr>
          <w:rFonts w:ascii="Liberation Serif" w:cs="Liberation Serif" w:eastAsia="Liberation Serif" w:hAnsi="Liberation Serif"/>
          <w:sz w:val="24"/>
          <w:szCs w:val="24"/>
        </w:rPr>
        <w:t xml:space="preserve">These submissions are structured according to the four questions referred to the Court of Justice. SCRIPTUM addresses each question in turn, beginning with the definition of personal data (Question 1), proceeding to the scope of the AI Act (Question 2), then to the proportionality of GDPR restrictions under the Charter (Question 3), and concluding with the validity of consent (Question 4).</w:t>
      </w:r>
    </w:p>
    <w:p>
      <w:pPr>
        <w:pStyle w:val="Heading1"/>
        <w:spacing w:after="200" w:before="400"/>
      </w:pPr>
      <w:r>
        <w:rPr>
          <w:rFonts w:ascii="Liberation Serif" w:cs="Liberation Serif" w:eastAsia="Liberation Serif" w:hAnsi="Liberation Serif"/>
          <w:b/>
          <w:bCs/>
          <w:sz w:val="26"/>
          <w:szCs w:val="26"/>
        </w:rPr>
        <w:t xml:space="preserve">II. Question 1: Textual Prompts Do Not Constitute Personal Data Per Se</w:t>
      </w:r>
    </w:p>
    <w:p>
      <w:pPr>
        <w:pStyle w:val="Heading2"/>
        <w:spacing w:after="120" w:before="240"/>
      </w:pPr>
      <w:r>
        <w:rPr>
          <w:rFonts w:ascii="Liberation Serif" w:cs="Liberation Serif" w:eastAsia="Liberation Serif" w:hAnsi="Liberation Serif"/>
          <w:b/>
          <w:bCs/>
          <w:i/>
          <w:iCs/>
          <w:sz w:val="24"/>
          <w:szCs w:val="24"/>
        </w:rPr>
        <w:t xml:space="preserve">A. The statutory definition requires information ‘relating to’ an identified person</w:t>
      </w:r>
    </w:p>
    <w:p>
      <w:pPr>
        <w:spacing w:after="160"/>
        <w:ind w:left="480"/>
        <w:jc w:val="both"/>
      </w:pPr>
      <w:r>
        <w:rPr>
          <w:rFonts w:ascii="Liberation Serif" w:cs="Liberation Serif" w:eastAsia="Liberation Serif" w:hAnsi="Liberation Serif"/>
          <w:b/>
          <w:bCs/>
          <w:sz w:val="24"/>
          <w:szCs w:val="24"/>
        </w:rPr>
        <w:t xml:space="preserve">4.	</w:t>
      </w:r>
      <w:r>
        <w:rPr>
          <w:rFonts w:ascii="Liberation Serif" w:cs="Liberation Serif" w:eastAsia="Liberation Serif" w:hAnsi="Liberation Serif"/>
          <w:sz w:val="24"/>
          <w:szCs w:val="24"/>
        </w:rPr>
        <w:t xml:space="preserve">Article 4(1) GDPR defines ‘personal data’ as ‘any information relating to an identified or identifiable natural person.’ The definition contains four cumulative elements: the information must (i) constitute ‘any information,’ (ii) ‘relate to,’ (iii) an ‘identified or identifiable,’ (iv) ‘natural person.’ The Article 29 Working Party’s </w:t>
      </w:r>
      <w:r>
        <w:rPr>
          <w:rFonts w:ascii="Liberation Serif" w:cs="Liberation Serif" w:eastAsia="Liberation Serif" w:hAnsi="Liberation Serif"/>
          <w:b/>
          <w:bCs/>
          <w:i/>
          <w:iCs/>
          <w:sz w:val="24"/>
          <w:szCs w:val="24"/>
        </w:rPr>
        <w:t xml:space="preserve">Opinion 4/2007 on the Concept of Personal Data</w:t>
      </w:r>
      <w:r>
        <w:rPr>
          <w:rFonts w:ascii="Liberation Serif" w:cs="Liberation Serif" w:eastAsia="Liberation Serif" w:hAnsi="Liberation Serif"/>
          <w:sz w:val="24"/>
          <w:szCs w:val="24"/>
        </w:rPr>
        <w:t xml:space="preserve"> elaborated that information ‘relates to’ a person where a content element, a purpose element, or a result element is present. Where none of these elements is satisfied, the data does not fall within the definition, regardless of who created it.</w:t>
      </w:r>
    </w:p>
    <w:p>
      <w:pPr>
        <w:spacing w:after="160"/>
        <w:ind w:left="480"/>
        <w:jc w:val="both"/>
      </w:pPr>
      <w:r>
        <w:rPr>
          <w:rFonts w:ascii="Liberation Serif" w:cs="Liberation Serif" w:eastAsia="Liberation Serif" w:hAnsi="Liberation Serif"/>
          <w:b/>
          <w:bCs/>
          <w:sz w:val="24"/>
          <w:szCs w:val="24"/>
        </w:rPr>
        <w:t xml:space="preserve">5.	</w:t>
      </w:r>
      <w:r>
        <w:rPr>
          <w:rFonts w:ascii="Liberation Serif" w:cs="Liberation Serif" w:eastAsia="Liberation Serif" w:hAnsi="Liberation Serif"/>
          <w:sz w:val="24"/>
          <w:szCs w:val="24"/>
        </w:rPr>
        <w:t xml:space="preserve">SCRIPTUM does not dispute that prompts may, in specific instances, contain personal data — for example, where a user types a client’s name or a patient’s diagnosis into the Crucible. However, it submits that the prompt as such — as a functional textual instruction addressed to a machine — does not automatically satisfy the ‘relating to’ requirement. A prompt such as ‘Draft a claim for the protection of personal data’ contains no information about any natural person; it is an operational command.</w:t>
      </w:r>
    </w:p>
    <w:p>
      <w:pPr>
        <w:pStyle w:val="Heading2"/>
        <w:spacing w:after="120" w:before="240"/>
      </w:pPr>
      <w:r>
        <w:rPr>
          <w:rFonts w:ascii="Liberation Serif" w:cs="Liberation Serif" w:eastAsia="Liberation Serif" w:hAnsi="Liberation Serif"/>
          <w:b/>
          <w:bCs/>
          <w:i/>
          <w:iCs/>
          <w:sz w:val="24"/>
          <w:szCs w:val="24"/>
        </w:rPr>
        <w:t xml:space="preserve">B. The Nowak content-purpose-effect test is not satisfied</w:t>
      </w:r>
    </w:p>
    <w:p>
      <w:pPr>
        <w:spacing w:after="160"/>
        <w:ind w:left="480"/>
        <w:jc w:val="both"/>
      </w:pPr>
      <w:r>
        <w:rPr>
          <w:rFonts w:ascii="Liberation Serif" w:cs="Liberation Serif" w:eastAsia="Liberation Serif" w:hAnsi="Liberation Serif"/>
          <w:b/>
          <w:bCs/>
          <w:sz w:val="24"/>
          <w:szCs w:val="24"/>
        </w:rPr>
        <w:t xml:space="preserve">6.	</w:t>
      </w:r>
      <w:r>
        <w:rPr>
          <w:rFonts w:ascii="Liberation Serif" w:cs="Liberation Serif" w:eastAsia="Liberation Serif" w:hAnsi="Liberation Serif"/>
          <w:sz w:val="24"/>
          <w:szCs w:val="24"/>
        </w:rPr>
        <w:t xml:space="preserve">In </w:t>
      </w:r>
      <w:r>
        <w:rPr>
          <w:rFonts w:ascii="Liberation Serif" w:cs="Liberation Serif" w:eastAsia="Liberation Serif" w:hAnsi="Liberation Serif"/>
          <w:b/>
          <w:bCs/>
          <w:sz w:val="24"/>
          <w:szCs w:val="24"/>
        </w:rPr>
        <w:t xml:space="preserve">Nowak</w:t>
      </w:r>
      <w:r>
        <w:rPr>
          <w:rFonts w:ascii="Liberation Serif" w:cs="Liberation Serif" w:eastAsia="Liberation Serif" w:hAnsi="Liberation Serif"/>
          <w:sz w:val="24"/>
          <w:szCs w:val="24"/>
        </w:rPr>
        <w:t xml:space="preserve"> (C-434/16), the Court held that written examination answers constituted personal data because they existed specifically to evaluate the candidate’s professional competence and had direct legal consequences for him. The Court applied the three-limbed content-purpose-effect test established by Opinion 4/2007. On the </w:t>
      </w:r>
      <w:r>
        <w:rPr>
          <w:rFonts w:ascii="Liberation Serif" w:cs="Liberation Serif" w:eastAsia="Liberation Serif" w:hAnsi="Liberation Serif"/>
          <w:i/>
          <w:iCs/>
          <w:sz w:val="24"/>
          <w:szCs w:val="24"/>
        </w:rPr>
        <w:t xml:space="preserve">content</w:t>
      </w:r>
      <w:r>
        <w:rPr>
          <w:rFonts w:ascii="Liberation Serif" w:cs="Liberation Serif" w:eastAsia="Liberation Serif" w:hAnsi="Liberation Serif"/>
          <w:sz w:val="24"/>
          <w:szCs w:val="24"/>
        </w:rPr>
        <w:t xml:space="preserve"> limb, the answers reflected the candidate’s knowledge and thought processes. On the </w:t>
      </w:r>
      <w:r>
        <w:rPr>
          <w:rFonts w:ascii="Liberation Serif" w:cs="Liberation Serif" w:eastAsia="Liberation Serif" w:hAnsi="Liberation Serif"/>
          <w:i/>
          <w:iCs/>
          <w:sz w:val="24"/>
          <w:szCs w:val="24"/>
        </w:rPr>
        <w:t xml:space="preserve">purpose</w:t>
      </w:r>
      <w:r>
        <w:rPr>
          <w:rFonts w:ascii="Liberation Serif" w:cs="Liberation Serif" w:eastAsia="Liberation Serif" w:hAnsi="Liberation Serif"/>
          <w:sz w:val="24"/>
          <w:szCs w:val="24"/>
        </w:rPr>
        <w:t xml:space="preserve"> limb, they existed to evaluate Peter Nowak. On the </w:t>
      </w:r>
      <w:r>
        <w:rPr>
          <w:rFonts w:ascii="Liberation Serif" w:cs="Liberation Serif" w:eastAsia="Liberation Serif" w:hAnsi="Liberation Serif"/>
          <w:i/>
          <w:iCs/>
          <w:sz w:val="24"/>
          <w:szCs w:val="24"/>
        </w:rPr>
        <w:t xml:space="preserve">effect</w:t>
      </w:r>
      <w:r>
        <w:rPr>
          <w:rFonts w:ascii="Liberation Serif" w:cs="Liberation Serif" w:eastAsia="Liberation Serif" w:hAnsi="Liberation Serif"/>
          <w:sz w:val="24"/>
          <w:szCs w:val="24"/>
        </w:rPr>
        <w:t xml:space="preserve"> limb, the results determined whether he could practice as a chartered accountant.</w:t>
      </w:r>
    </w:p>
    <w:p>
      <w:pPr>
        <w:spacing w:after="160"/>
        <w:ind w:left="480"/>
        <w:jc w:val="both"/>
      </w:pPr>
      <w:r>
        <w:rPr>
          <w:rFonts w:ascii="Liberation Serif" w:cs="Liberation Serif" w:eastAsia="Liberation Serif" w:hAnsi="Liberation Serif"/>
          <w:b/>
          <w:bCs/>
          <w:sz w:val="24"/>
          <w:szCs w:val="24"/>
        </w:rPr>
        <w:t xml:space="preserve">7.	</w:t>
      </w:r>
      <w:r>
        <w:rPr>
          <w:rFonts w:ascii="Liberation Serif" w:cs="Liberation Serif" w:eastAsia="Liberation Serif" w:hAnsi="Liberation Serif"/>
          <w:sz w:val="24"/>
          <w:szCs w:val="24"/>
        </w:rPr>
        <w:t xml:space="preserve">Prompts entered into the Crucible satisfy none of these limbs. On content: a prompt instructing an AI to draft a document does not, of itself, contain information about the person who typed it. On purpose: the Crucible’s purpose is to generate a response for the user, not to evaluate the user — the alchemical mastery score is a separate function addressed under Question 2. On effect: the prompt itself has no legal or comparable consequences for the user. Where all three limbs of the content-purpose-effect test fail, the ‘relating to’ element of Article 4(1) is not met, and the prompt is not personal data.</w:t>
      </w:r>
    </w:p>
    <w:p>
      <w:pPr>
        <w:pStyle w:val="Heading2"/>
        <w:spacing w:after="120" w:before="240"/>
      </w:pPr>
      <w:r>
        <w:rPr>
          <w:rFonts w:ascii="Liberation Serif" w:cs="Liberation Serif" w:eastAsia="Liberation Serif" w:hAnsi="Liberation Serif"/>
          <w:b/>
          <w:bCs/>
          <w:i/>
          <w:iCs/>
          <w:sz w:val="24"/>
          <w:szCs w:val="24"/>
        </w:rPr>
        <w:t xml:space="preserve">C. The SRB relative approach supports SCRIPTUM’s position on third-party transmission</w:t>
      </w:r>
    </w:p>
    <w:p>
      <w:pPr>
        <w:spacing w:after="160"/>
        <w:ind w:left="480"/>
        <w:jc w:val="both"/>
      </w:pPr>
      <w:r>
        <w:rPr>
          <w:rFonts w:ascii="Liberation Serif" w:cs="Liberation Serif" w:eastAsia="Liberation Serif" w:hAnsi="Liberation Serif"/>
          <w:b/>
          <w:bCs/>
          <w:sz w:val="24"/>
          <w:szCs w:val="24"/>
        </w:rPr>
        <w:t xml:space="preserve">8.	</w:t>
      </w:r>
      <w:r>
        <w:rPr>
          <w:rFonts w:ascii="Liberation Serif" w:cs="Liberation Serif" w:eastAsia="Liberation Serif" w:hAnsi="Liberation Serif"/>
          <w:sz w:val="24"/>
          <w:szCs w:val="24"/>
        </w:rPr>
        <w:t xml:space="preserve">In </w:t>
      </w:r>
      <w:r>
        <w:rPr>
          <w:rFonts w:ascii="Liberation Serif" w:cs="Liberation Serif" w:eastAsia="Liberation Serif" w:hAnsi="Liberation Serif"/>
          <w:b/>
          <w:bCs/>
          <w:sz w:val="24"/>
          <w:szCs w:val="24"/>
        </w:rPr>
        <w:t xml:space="preserve">EDPS v SRB</w:t>
      </w:r>
      <w:r>
        <w:rPr>
          <w:rFonts w:ascii="Liberation Serif" w:cs="Liberation Serif" w:eastAsia="Liberation Serif" w:hAnsi="Liberation Serif"/>
          <w:sz w:val="24"/>
          <w:szCs w:val="24"/>
        </w:rPr>
        <w:t xml:space="preserve"> (C-413/23 P), the Court confirmed that personal data is a relative concept: the same information may constitute personal data in the hands of one controller but not in the hands of another, depending on whether that controller possesses ‘reasonably likely’ means of identification. This builds on the earlier holding in </w:t>
      </w:r>
      <w:r>
        <w:rPr>
          <w:rFonts w:ascii="Liberation Serif" w:cs="Liberation Serif" w:eastAsia="Liberation Serif" w:hAnsi="Liberation Serif"/>
          <w:b/>
          <w:bCs/>
          <w:sz w:val="24"/>
          <w:szCs w:val="24"/>
        </w:rPr>
        <w:t xml:space="preserve">Breyer</w:t>
      </w:r>
      <w:r>
        <w:rPr>
          <w:rFonts w:ascii="Liberation Serif" w:cs="Liberation Serif" w:eastAsia="Liberation Serif" w:hAnsi="Liberation Serif"/>
          <w:sz w:val="24"/>
          <w:szCs w:val="24"/>
        </w:rPr>
        <w:t xml:space="preserve"> (C-582/14), where the Court held that dynamic IP addresses were personal data because the website operator could, through legal channels, obtain subscriber information from the internet service provider.</w:t>
      </w:r>
    </w:p>
    <w:p>
      <w:pPr>
        <w:spacing w:after="160"/>
        <w:ind w:left="480"/>
        <w:jc w:val="both"/>
      </w:pPr>
      <w:r>
        <w:rPr>
          <w:rFonts w:ascii="Liberation Serif" w:cs="Liberation Serif" w:eastAsia="Liberation Serif" w:hAnsi="Liberation Serif"/>
          <w:b/>
          <w:bCs/>
          <w:sz w:val="24"/>
          <w:szCs w:val="24"/>
        </w:rPr>
        <w:t xml:space="preserve">9.	</w:t>
      </w:r>
      <w:r>
        <w:rPr>
          <w:rFonts w:ascii="Liberation Serif" w:cs="Liberation Serif" w:eastAsia="Liberation Serif" w:hAnsi="Liberation Serif"/>
          <w:sz w:val="24"/>
          <w:szCs w:val="24"/>
        </w:rPr>
        <w:t xml:space="preserve">Where SCRIPTUM transmits prompts to a third-party language model operator, the relevant question under the SRB approach is whether that operator has reasonable means to connect the prompt text to any natural person. If the prompts are transmitted without user identifiers, session metadata, or account information, the operator lacks such means. The prompts are, in the operator’s hands, anonymous functional inputs. The DPA’s finding of a violation under Articles 13 and 14 GDPR cannot stand if the transmitted data does not constitute personal data in the hands of the recipient.</w:t>
      </w:r>
    </w:p>
    <w:p>
      <w:pPr>
        <w:pStyle w:val="Heading2"/>
        <w:spacing w:after="120" w:before="240"/>
      </w:pPr>
      <w:r>
        <w:rPr>
          <w:rFonts w:ascii="Liberation Serif" w:cs="Liberation Serif" w:eastAsia="Liberation Serif" w:hAnsi="Liberation Serif"/>
          <w:b/>
          <w:bCs/>
          <w:i/>
          <w:iCs/>
          <w:sz w:val="24"/>
          <w:szCs w:val="24"/>
        </w:rPr>
        <w:t xml:space="preserve">D. The distinction between ‘prompts containing personal data’ and ‘prompts being personal data’</w:t>
      </w:r>
    </w:p>
    <w:p>
      <w:pPr>
        <w:spacing w:after="160"/>
        <w:ind w:left="480"/>
        <w:jc w:val="both"/>
      </w:pPr>
      <w:r>
        <w:rPr>
          <w:rFonts w:ascii="Liberation Serif" w:cs="Liberation Serif" w:eastAsia="Liberation Serif" w:hAnsi="Liberation Serif"/>
          <w:b/>
          <w:bCs/>
          <w:sz w:val="24"/>
          <w:szCs w:val="24"/>
        </w:rPr>
        <w:t xml:space="preserve">10.	</w:t>
      </w:r>
      <w:r>
        <w:rPr>
          <w:rFonts w:ascii="Liberation Serif" w:cs="Liberation Serif" w:eastAsia="Liberation Serif" w:hAnsi="Liberation Serif"/>
          <w:sz w:val="24"/>
          <w:szCs w:val="24"/>
        </w:rPr>
        <w:t xml:space="preserve">The DPA’s decision conflates two distinct propositions. The first proposition — that certain prompts contained personal data of third parties, such as client names and patient records — is factual and SCRIPTUM acknowledges it. The second proposition — that textual prompts are inherently personal data by virtue of being authored by a natural person — is a legal conclusion that does not follow from the first. The 43 prompts that contained third-party identifiers constituted personal data because of their specific content, not because of their nature as prompts. The remaining prompts — those containing only generic professional instructions — did not.</w:t>
      </w:r>
    </w:p>
    <w:p>
      <w:pPr>
        <w:spacing w:after="160"/>
        <w:ind w:left="480"/>
        <w:jc w:val="both"/>
      </w:pPr>
      <w:r>
        <w:rPr>
          <w:rFonts w:ascii="Liberation Serif" w:cs="Liberation Serif" w:eastAsia="Liberation Serif" w:hAnsi="Liberation Serif"/>
          <w:b/>
          <w:bCs/>
          <w:sz w:val="24"/>
          <w:szCs w:val="24"/>
        </w:rPr>
        <w:t xml:space="preserve">11.	</w:t>
      </w:r>
      <w:r>
        <w:rPr>
          <w:rFonts w:ascii="Liberation Serif" w:cs="Liberation Serif" w:eastAsia="Liberation Serif" w:hAnsi="Liberation Serif"/>
          <w:sz w:val="24"/>
          <w:szCs w:val="24"/>
        </w:rPr>
        <w:t xml:space="preserve">The EDPB’s ChatGPT Taskforce Report of 23 May 2024 itself draws this distinction. The Report addresses personal data within prompts — that is, instances where users type names, health information, or other identifiers into a chatbot. It does not hold that the prompt as a category of data is automatically personal data. The Court should preserve this distinction to maintain the regulatory coherence of Article 4(1).</w:t>
      </w:r>
    </w:p>
    <w:p>
      <w:pPr>
        <w:pStyle w:val="Heading2"/>
        <w:spacing w:after="120" w:before="240"/>
      </w:pPr>
      <w:r>
        <w:rPr>
          <w:rFonts w:ascii="Liberation Serif" w:cs="Liberation Serif" w:eastAsia="Liberation Serif" w:hAnsi="Liberation Serif"/>
          <w:b/>
          <w:bCs/>
          <w:i/>
          <w:iCs/>
          <w:sz w:val="24"/>
          <w:szCs w:val="24"/>
        </w:rPr>
        <w:t xml:space="preserve">E. Treating all prompts as personal data creates unworkable over-breadth</w:t>
      </w:r>
    </w:p>
    <w:p>
      <w:pPr>
        <w:spacing w:after="160"/>
        <w:ind w:left="480"/>
        <w:jc w:val="both"/>
      </w:pPr>
      <w:r>
        <w:rPr>
          <w:rFonts w:ascii="Liberation Serif" w:cs="Liberation Serif" w:eastAsia="Liberation Serif" w:hAnsi="Liberation Serif"/>
          <w:b/>
          <w:bCs/>
          <w:sz w:val="24"/>
          <w:szCs w:val="24"/>
        </w:rPr>
        <w:t xml:space="preserve">12.	</w:t>
      </w:r>
      <w:r>
        <w:rPr>
          <w:rFonts w:ascii="Liberation Serif" w:cs="Liberation Serif" w:eastAsia="Liberation Serif" w:hAnsi="Liberation Serif"/>
          <w:sz w:val="24"/>
          <w:szCs w:val="24"/>
        </w:rPr>
        <w:t xml:space="preserve">If every textual instruction entered into a software system were personal data by virtue of theoretically revealing the user’s ‘thinking style’ or ‘mental identity,’ Article 4(1) would encompass search engine queries, voice assistant commands, autocomplete entries, and every human-computer interaction involving text. As Professor Purtova has observed, this risks rendering the GDPR ‘the law of everything’ — a framework so expansive as to lose meaningful regulatory force. The Court should interpret the definition purposively, in light of its objective of protecting individuals from risks to their privacy, rather than extending it to cover all functional interactions with machines.</w:t>
      </w:r>
    </w:p>
    <w:p>
      <w:pPr>
        <w:spacing w:after="160"/>
        <w:ind w:left="480"/>
        <w:jc w:val="both"/>
      </w:pPr>
      <w:r>
        <w:rPr>
          <w:rFonts w:ascii="Liberation Serif" w:cs="Liberation Serif" w:eastAsia="Liberation Serif" w:hAnsi="Liberation Serif"/>
          <w:b/>
          <w:bCs/>
          <w:sz w:val="24"/>
          <w:szCs w:val="24"/>
        </w:rPr>
        <w:t xml:space="preserve">13.	</w:t>
      </w:r>
      <w:r>
        <w:rPr>
          <w:rFonts w:ascii="Liberation Serif" w:cs="Liberation Serif" w:eastAsia="Liberation Serif" w:hAnsi="Liberation Serif"/>
          <w:sz w:val="24"/>
          <w:szCs w:val="24"/>
        </w:rPr>
        <w:t xml:space="preserve">SCRIPTUM submits that the first question should be answered as follows: textual prompts entered into an AI system constitute personal data within the meaning of Article 4(1) GDPR only where they contain identifiers of natural persons, or where the controller has reasonable means to link the prompt to an identified person through accompanying metadata. The prompt as such, as a functional instruction, does not constitute personal data. The subsequent transmission of prompts to a third-party operator does not alter this analysis where the prompts are transmitted without accompanying identifiers.</w:t>
      </w:r>
    </w:p>
    <w:p>
      <w:pPr>
        <w:pStyle w:val="Heading1"/>
        <w:spacing w:after="200" w:before="400"/>
      </w:pPr>
      <w:r>
        <w:rPr>
          <w:rFonts w:ascii="Liberation Serif" w:cs="Liberation Serif" w:eastAsia="Liberation Serif" w:hAnsi="Liberation Serif"/>
          <w:b/>
          <w:bCs/>
          <w:sz w:val="26"/>
          <w:szCs w:val="26"/>
        </w:rPr>
        <w:t xml:space="preserve">III. Question 2: The Crucible’s Scoring System Is Not an AI System</w:t>
      </w:r>
    </w:p>
    <w:p>
      <w:pPr>
        <w:pStyle w:val="Heading2"/>
        <w:spacing w:after="120" w:before="240"/>
      </w:pPr>
      <w:r>
        <w:rPr>
          <w:rFonts w:ascii="Liberation Serif" w:cs="Liberation Serif" w:eastAsia="Liberation Serif" w:hAnsi="Liberation Serif"/>
          <w:b/>
          <w:bCs/>
          <w:i/>
          <w:iCs/>
          <w:sz w:val="24"/>
          <w:szCs w:val="24"/>
        </w:rPr>
        <w:t xml:space="preserve">A. Article 3(1) requires the capability to ‘infer’</w:t>
      </w:r>
    </w:p>
    <w:p>
      <w:pPr>
        <w:spacing w:after="160"/>
        <w:ind w:left="480"/>
        <w:jc w:val="both"/>
      </w:pPr>
      <w:r>
        <w:rPr>
          <w:rFonts w:ascii="Liberation Serif" w:cs="Liberation Serif" w:eastAsia="Liberation Serif" w:hAnsi="Liberation Serif"/>
          <w:b/>
          <w:bCs/>
          <w:sz w:val="24"/>
          <w:szCs w:val="24"/>
        </w:rPr>
        <w:t xml:space="preserve">14.	</w:t>
      </w:r>
      <w:r>
        <w:rPr>
          <w:rFonts w:ascii="Liberation Serif" w:cs="Liberation Serif" w:eastAsia="Liberation Serif" w:hAnsi="Liberation Serif"/>
          <w:sz w:val="24"/>
          <w:szCs w:val="24"/>
        </w:rPr>
        <w:t xml:space="preserve">Article 3(1) of Regulation 2024/1689 defines an ‘AI system’ as a machine-based system designed to operate with varying levels of autonomy that, for explicit or implicit objectives, ‘infers, from the input it receives, how to generate outputs such as predictions, content, recommendations, or decisions.’ Recital 12 clarifies that this capability to infer refers to ‘a capability of AI systems to </w:t>
      </w:r>
      <w:r>
        <w:rPr>
          <w:rFonts w:ascii="Liberation Serif" w:cs="Liberation Serif" w:eastAsia="Liberation Serif" w:hAnsi="Liberation Serif"/>
          <w:i/>
          <w:iCs/>
          <w:sz w:val="24"/>
          <w:szCs w:val="24"/>
        </w:rPr>
        <w:t xml:space="preserve">derive models or algorithms, or both, from inputs or data</w:t>
      </w:r>
      <w:r>
        <w:rPr>
          <w:rFonts w:ascii="Liberation Serif" w:cs="Liberation Serif" w:eastAsia="Liberation Serif" w:hAnsi="Liberation Serif"/>
          <w:sz w:val="24"/>
          <w:szCs w:val="24"/>
        </w:rPr>
        <w:t xml:space="preserve">.’ The operative word is ‘derive.’ A system that applies a pre-existing, human-designed model does not derive anything; it executes.</w:t>
      </w:r>
    </w:p>
    <w:p>
      <w:pPr>
        <w:pStyle w:val="Heading2"/>
        <w:spacing w:after="120" w:before="240"/>
      </w:pPr>
      <w:r>
        <w:rPr>
          <w:rFonts w:ascii="Liberation Serif" w:cs="Liberation Serif" w:eastAsia="Liberation Serif" w:hAnsi="Liberation Serif"/>
          <w:b/>
          <w:bCs/>
          <w:i/>
          <w:iCs/>
          <w:sz w:val="24"/>
          <w:szCs w:val="24"/>
        </w:rPr>
        <w:t xml:space="preserve">B. Recital 12 explicitly excludes human-authored rule systems</w:t>
      </w:r>
    </w:p>
    <w:p>
      <w:pPr>
        <w:spacing w:after="160"/>
        <w:ind w:left="480"/>
        <w:jc w:val="both"/>
      </w:pPr>
      <w:r>
        <w:rPr>
          <w:rFonts w:ascii="Liberation Serif" w:cs="Liberation Serif" w:eastAsia="Liberation Serif" w:hAnsi="Liberation Serif"/>
          <w:b/>
          <w:bCs/>
          <w:sz w:val="24"/>
          <w:szCs w:val="24"/>
        </w:rPr>
        <w:t xml:space="preserve">15.	</w:t>
      </w:r>
      <w:r>
        <w:rPr>
          <w:rFonts w:ascii="Liberation Serif" w:cs="Liberation Serif" w:eastAsia="Liberation Serif" w:hAnsi="Liberation Serif"/>
          <w:sz w:val="24"/>
          <w:szCs w:val="24"/>
        </w:rPr>
        <w:t xml:space="preserve">Recital 12 states that the definition ‘should not cover systems that are based on the rules defined solely by natural persons to automatically execute operations.’ The Crucible’s alchemical mastery scoring system is calculated using a deterministic algorithm designed entirely by SCRIPTUM’s engineers. Every rule, weight, and threshold was specified by human experts on the basis of their pedagogical judgment. The system does not learn from data, does not adapt after deployment, and produces identical outputs for identical inputs. Given identical prompts from two different users, the scoring function will return identical scores. This is the paradigmatic example of the traditional software that Recital 12 was designed to exclude.</w:t>
      </w:r>
    </w:p>
    <w:p>
      <w:pPr>
        <w:pStyle w:val="Heading2"/>
        <w:spacing w:after="120" w:before="240"/>
      </w:pPr>
      <w:r>
        <w:rPr>
          <w:rFonts w:ascii="Liberation Serif" w:cs="Liberation Serif" w:eastAsia="Liberation Serif" w:hAnsi="Liberation Serif"/>
          <w:b/>
          <w:bCs/>
          <w:i/>
          <w:iCs/>
          <w:sz w:val="24"/>
          <w:szCs w:val="24"/>
        </w:rPr>
        <w:t xml:space="preserve">C. The Commission guidelines and OECD Explanatory Memorandum confirm this exclusion</w:t>
      </w:r>
    </w:p>
    <w:p>
      <w:pPr>
        <w:spacing w:after="160"/>
        <w:ind w:left="480"/>
        <w:jc w:val="both"/>
      </w:pPr>
      <w:r>
        <w:rPr>
          <w:rFonts w:ascii="Liberation Serif" w:cs="Liberation Serif" w:eastAsia="Liberation Serif" w:hAnsi="Liberation Serif"/>
          <w:b/>
          <w:bCs/>
          <w:sz w:val="24"/>
          <w:szCs w:val="24"/>
        </w:rPr>
        <w:t xml:space="preserve">16.	</w:t>
      </w:r>
      <w:r>
        <w:rPr>
          <w:rFonts w:ascii="Liberation Serif" w:cs="Liberation Serif" w:eastAsia="Liberation Serif" w:hAnsi="Liberation Serif"/>
          <w:sz w:val="24"/>
          <w:szCs w:val="24"/>
        </w:rPr>
        <w:t xml:space="preserve">The European Commission’s non-binding guidelines on the definition of an AI system, published on 6 February 2025, explicitly list ‘simple deterministic rule-based tools’ and ‘basic statistical estimators with fixed algorithms’ as examples falling outside the AI Act’s scope. The OECD’s </w:t>
      </w:r>
      <w:r>
        <w:rPr>
          <w:rFonts w:ascii="Liberation Serif" w:cs="Liberation Serif" w:eastAsia="Liberation Serif" w:hAnsi="Liberation Serif"/>
          <w:i/>
          <w:iCs/>
          <w:sz w:val="24"/>
          <w:szCs w:val="24"/>
        </w:rPr>
        <w:t xml:space="preserve">Explanatory Memorandum on the Updated OECD Definition of an AI System</w:t>
      </w:r>
      <w:r>
        <w:rPr>
          <w:rFonts w:ascii="Liberation Serif" w:cs="Liberation Serif" w:eastAsia="Liberation Serif" w:hAnsi="Liberation Serif"/>
          <w:sz w:val="24"/>
          <w:szCs w:val="24"/>
        </w:rPr>
        <w:t xml:space="preserve"> (March 2024), which informed the AI Act’s definition, further clarifies that ‘infers how to generate outputs’ means the system processes input in a way that ‘goes beyond straightforward data processing.’ A scoring function that applies a weighted sum to predetermined criteria is straightforward data processing. It does not go beyond it.</w:t>
      </w:r>
    </w:p>
    <w:p>
      <w:pPr>
        <w:pStyle w:val="Heading2"/>
        <w:spacing w:after="120" w:before="240"/>
      </w:pPr>
      <w:r>
        <w:rPr>
          <w:rFonts w:ascii="Liberation Serif" w:cs="Liberation Serif" w:eastAsia="Liberation Serif" w:hAnsi="Liberation Serif"/>
          <w:b/>
          <w:bCs/>
          <w:i/>
          <w:iCs/>
          <w:sz w:val="24"/>
          <w:szCs w:val="24"/>
        </w:rPr>
        <w:t xml:space="preserve">D. The legislative history supports a narrow reading</w:t>
      </w:r>
    </w:p>
    <w:p>
      <w:pPr>
        <w:spacing w:after="160"/>
        <w:ind w:left="480"/>
        <w:jc w:val="both"/>
      </w:pPr>
      <w:r>
        <w:rPr>
          <w:rFonts w:ascii="Liberation Serif" w:cs="Liberation Serif" w:eastAsia="Liberation Serif" w:hAnsi="Liberation Serif"/>
          <w:b/>
          <w:bCs/>
          <w:sz w:val="24"/>
          <w:szCs w:val="24"/>
        </w:rPr>
        <w:t xml:space="preserve">17.	</w:t>
      </w:r>
      <w:r>
        <w:rPr>
          <w:rFonts w:ascii="Liberation Serif" w:cs="Liberation Serif" w:eastAsia="Liberation Serif" w:hAnsi="Liberation Serif"/>
          <w:sz w:val="24"/>
          <w:szCs w:val="24"/>
        </w:rPr>
        <w:t xml:space="preserve">The Commission’s original 2021 proposal (COM(2021) 206 final) used a technique-based definition anchored in Annex I, which listed machine learning, logic-based approaches, and statistical methods. Under that original formulation, a deterministic scoring algorithm using statistical weighting would have been expressly captured. The co-legislators deliberately abandoned this approach during trilogue negotiations in 2022–2023, replacing it with the functional ‘inference’ criterion precisely because the Annex I approach was criticised — including by the European Law Institute — as over-inclusive and as potentially capturing virtually all software. Interpreting Article 3(1) to encompass deterministic scoring algorithms would resurrect the very over-inclusiveness that the co-legislators intended to eliminate.</w:t>
      </w:r>
    </w:p>
    <w:p>
      <w:pPr>
        <w:pStyle w:val="Heading2"/>
        <w:spacing w:after="120" w:before="240"/>
      </w:pPr>
      <w:r>
        <w:rPr>
          <w:rFonts w:ascii="Liberation Serif" w:cs="Liberation Serif" w:eastAsia="Liberation Serif" w:hAnsi="Liberation Serif"/>
          <w:b/>
          <w:bCs/>
          <w:i/>
          <w:iCs/>
          <w:sz w:val="24"/>
          <w:szCs w:val="24"/>
        </w:rPr>
        <w:t xml:space="preserve">E. The ‘varying levels of autonomy’ requirement is not met</w:t>
      </w:r>
    </w:p>
    <w:p>
      <w:pPr>
        <w:spacing w:after="160"/>
        <w:ind w:left="480"/>
        <w:jc w:val="both"/>
      </w:pPr>
      <w:r>
        <w:rPr>
          <w:rFonts w:ascii="Liberation Serif" w:cs="Liberation Serif" w:eastAsia="Liberation Serif" w:hAnsi="Liberation Serif"/>
          <w:b/>
          <w:bCs/>
          <w:sz w:val="24"/>
          <w:szCs w:val="24"/>
        </w:rPr>
        <w:t xml:space="preserve">18.	</w:t>
      </w:r>
      <w:r>
        <w:rPr>
          <w:rFonts w:ascii="Liberation Serif" w:cs="Liberation Serif" w:eastAsia="Liberation Serif" w:hAnsi="Liberation Serif"/>
          <w:sz w:val="24"/>
          <w:szCs w:val="24"/>
        </w:rPr>
        <w:t xml:space="preserve">Article 3(1) requires that an AI system be ‘designed to operate with varying levels of autonomy.’ While Recital 12 states that a system ‘may exhibit adaptiveness after deployment,’ the autonomy requirement is not merely permissive — it demands that the system possess at least some capacity for independent judgment in generating its outputs. A deterministic scoring function exercises no judgment whatsoever: its output is entirely predetermined by its inputs and its human-authored rules. It possesses less autonomy than a thermostat, which at least responds to environmental conditions. The Court should not interpret ‘varying levels of autonomy’ as encompassing zero autonomy.</w:t>
      </w:r>
    </w:p>
    <w:p>
      <w:pPr>
        <w:spacing w:after="160"/>
        <w:ind w:left="480"/>
        <w:jc w:val="both"/>
      </w:pPr>
      <w:r>
        <w:rPr>
          <w:rFonts w:ascii="Liberation Serif" w:cs="Liberation Serif" w:eastAsia="Liberation Serif" w:hAnsi="Liberation Serif"/>
          <w:b/>
          <w:bCs/>
          <w:sz w:val="24"/>
          <w:szCs w:val="24"/>
        </w:rPr>
        <w:t xml:space="preserve">19.	</w:t>
      </w:r>
      <w:r>
        <w:rPr>
          <w:rFonts w:ascii="Liberation Serif" w:cs="Liberation Serif" w:eastAsia="Liberation Serif" w:hAnsi="Liberation Serif"/>
          <w:sz w:val="24"/>
          <w:szCs w:val="24"/>
        </w:rPr>
        <w:t xml:space="preserve">SCRIPTUM submits that the second question should be answered as follows: the concept of ‘AI system’ in Article 3(1) of Regulation 2024/1689 does not encompass deterministic scoring algorithms which apply human-defined rules and weights to analyse textual input and assign numerical scores, but which do not derive their models or algorithms from data, do not employ machine learning, and exercise no autonomous judgment in generating their outputs.</w:t>
      </w:r>
    </w:p>
    <w:p>
      <w:pPr>
        <w:pStyle w:val="Heading1"/>
        <w:spacing w:after="200" w:before="400"/>
      </w:pPr>
      <w:r>
        <w:rPr>
          <w:rFonts w:ascii="Liberation Serif" w:cs="Liberation Serif" w:eastAsia="Liberation Serif" w:hAnsi="Liberation Serif"/>
          <w:b/>
          <w:bCs/>
          <w:sz w:val="26"/>
          <w:szCs w:val="26"/>
        </w:rPr>
        <w:t xml:space="preserve">IV. Question 3: GDPR Restrictions on Educational Targeting Are Disproportionate</w:t>
      </w:r>
    </w:p>
    <w:p>
      <w:pPr>
        <w:pStyle w:val="Heading2"/>
        <w:spacing w:after="120" w:before="240"/>
      </w:pPr>
      <w:r>
        <w:rPr>
          <w:rFonts w:ascii="Liberation Serif" w:cs="Liberation Serif" w:eastAsia="Liberation Serif" w:hAnsi="Liberation Serif"/>
          <w:b/>
          <w:bCs/>
          <w:i/>
          <w:iCs/>
          <w:sz w:val="24"/>
          <w:szCs w:val="24"/>
        </w:rPr>
        <w:t xml:space="preserve">A. SCRIPTUM exercises rights under both Articles 11 and 13 of the Charter</w:t>
      </w:r>
    </w:p>
    <w:p>
      <w:pPr>
        <w:spacing w:after="160"/>
        <w:ind w:left="480"/>
        <w:jc w:val="both"/>
      </w:pPr>
      <w:r>
        <w:rPr>
          <w:rFonts w:ascii="Liberation Serif" w:cs="Liberation Serif" w:eastAsia="Liberation Serif" w:hAnsi="Liberation Serif"/>
          <w:b/>
          <w:bCs/>
          <w:sz w:val="24"/>
          <w:szCs w:val="24"/>
        </w:rPr>
        <w:t xml:space="preserve">20.	</w:t>
      </w:r>
      <w:r>
        <w:rPr>
          <w:rFonts w:ascii="Liberation Serif" w:cs="Liberation Serif" w:eastAsia="Liberation Serif" w:hAnsi="Liberation Serif"/>
          <w:sz w:val="24"/>
          <w:szCs w:val="24"/>
        </w:rPr>
        <w:t xml:space="preserve">Article 11(1) of the Charter protects the right to ‘impart information and ideas without interference.’ Critically, this right has two dimensions: it protects both the speaker’s right to impart and the audience’s right to receive. The Adepts who voluntarily registered to receive educational content exercise their Article 11 right to receive information about AI tools relevant to their professional practice. The DPA’s decision restricts not only SCRIPTUM’s right to impart but also the Adepts’ right to receive.</w:t>
      </w:r>
    </w:p>
    <w:p>
      <w:pPr>
        <w:spacing w:after="160"/>
        <w:ind w:left="480"/>
        <w:jc w:val="both"/>
      </w:pPr>
      <w:r>
        <w:rPr>
          <w:rFonts w:ascii="Liberation Serif" w:cs="Liberation Serif" w:eastAsia="Liberation Serif" w:hAnsi="Liberation Serif"/>
          <w:b/>
          <w:bCs/>
          <w:sz w:val="24"/>
          <w:szCs w:val="24"/>
        </w:rPr>
        <w:t xml:space="preserve">21.	</w:t>
      </w:r>
      <w:r>
        <w:rPr>
          <w:rFonts w:ascii="Liberation Serif" w:cs="Liberation Serif" w:eastAsia="Liberation Serif" w:hAnsi="Liberation Serif"/>
          <w:sz w:val="24"/>
          <w:szCs w:val="24"/>
        </w:rPr>
        <w:t xml:space="preserve">Article 13 provides that ‘scientific research shall be free of constraint’ and that ‘academic freedom shall be respected.’ In </w:t>
      </w:r>
      <w:r>
        <w:rPr>
          <w:rFonts w:ascii="Liberation Serif" w:cs="Liberation Serif" w:eastAsia="Liberation Serif" w:hAnsi="Liberation Serif"/>
          <w:b/>
          <w:bCs/>
          <w:sz w:val="24"/>
          <w:szCs w:val="24"/>
        </w:rPr>
        <w:t xml:space="preserve">Commission v Hungary</w:t>
      </w:r>
      <w:r>
        <w:rPr>
          <w:rFonts w:ascii="Liberation Serif" w:cs="Liberation Serif" w:eastAsia="Liberation Serif" w:hAnsi="Liberation Serif"/>
          <w:sz w:val="24"/>
          <w:szCs w:val="24"/>
        </w:rPr>
        <w:t xml:space="preserve"> (C-66/18), the Court confirmed that Article 13 has both an individual and an institutional dimension, protecting the freedom to ‘freely distribute information’ in the field of research and education. SCRIPTUM, as a non-profit educational organisation dedicated to AI literacy, exercises this institutional freedom when it disseminates training materials to professionals.</w:t>
      </w:r>
    </w:p>
    <w:p>
      <w:pPr>
        <w:pStyle w:val="Heading2"/>
        <w:spacing w:after="120" w:before="240"/>
      </w:pPr>
      <w:r>
        <w:rPr>
          <w:rFonts w:ascii="Liberation Serif" w:cs="Liberation Serif" w:eastAsia="Liberation Serif" w:hAnsi="Liberation Serif"/>
          <w:b/>
          <w:bCs/>
          <w:i/>
          <w:iCs/>
          <w:sz w:val="24"/>
          <w:szCs w:val="24"/>
        </w:rPr>
        <w:t xml:space="preserve">B. The CJEU’s proportionality framework requires context-dependent balancing</w:t>
      </w:r>
    </w:p>
    <w:p>
      <w:pPr>
        <w:spacing w:after="160"/>
        <w:ind w:left="480"/>
        <w:jc w:val="both"/>
      </w:pPr>
      <w:r>
        <w:rPr>
          <w:rFonts w:ascii="Liberation Serif" w:cs="Liberation Serif" w:eastAsia="Liberation Serif" w:hAnsi="Liberation Serif"/>
          <w:b/>
          <w:bCs/>
          <w:sz w:val="24"/>
          <w:szCs w:val="24"/>
        </w:rPr>
        <w:t xml:space="preserve">22.	</w:t>
      </w:r>
      <w:r>
        <w:rPr>
          <w:rFonts w:ascii="Liberation Serif" w:cs="Liberation Serif" w:eastAsia="Liberation Serif" w:hAnsi="Liberation Serif"/>
          <w:sz w:val="24"/>
          <w:szCs w:val="24"/>
        </w:rPr>
        <w:t xml:space="preserve">Under Article 52(1) of the Charter, any limitation on a fundamental right must be provided for by law, must respect the essence of the right, and must satisfy the principle of proportionality. The CJEU applies a three-step proportionality test: suitability, necessity, and balancing </w:t>
      </w:r>
      <w:r>
        <w:rPr>
          <w:rFonts w:ascii="Liberation Serif" w:cs="Liberation Serif" w:eastAsia="Liberation Serif" w:hAnsi="Liberation Serif"/>
          <w:i/>
          <w:iCs/>
          <w:sz w:val="24"/>
          <w:szCs w:val="24"/>
        </w:rPr>
        <w:t xml:space="preserve">stricto sensu</w:t>
      </w:r>
      <w:r>
        <w:rPr>
          <w:rFonts w:ascii="Liberation Serif" w:cs="Liberation Serif" w:eastAsia="Liberation Serif" w:hAnsi="Liberation Serif"/>
          <w:sz w:val="24"/>
          <w:szCs w:val="24"/>
        </w:rPr>
        <w:t xml:space="preserve">. In </w:t>
      </w:r>
      <w:r>
        <w:rPr>
          <w:rFonts w:ascii="Liberation Serif" w:cs="Liberation Serif" w:eastAsia="Liberation Serif" w:hAnsi="Liberation Serif"/>
          <w:b/>
          <w:bCs/>
          <w:sz w:val="24"/>
          <w:szCs w:val="24"/>
        </w:rPr>
        <w:t xml:space="preserve">Promusicae</w:t>
      </w:r>
      <w:r>
        <w:rPr>
          <w:rFonts w:ascii="Liberation Serif" w:cs="Liberation Serif" w:eastAsia="Liberation Serif" w:hAnsi="Liberation Serif"/>
          <w:sz w:val="24"/>
          <w:szCs w:val="24"/>
        </w:rPr>
        <w:t xml:space="preserve"> (C-275/06), the Court established that no single fundamental right automatically prevails over another; a ‘fair balance’ must be struck. In </w:t>
      </w:r>
      <w:r>
        <w:rPr>
          <w:rFonts w:ascii="Liberation Serif" w:cs="Liberation Serif" w:eastAsia="Liberation Serif" w:hAnsi="Liberation Serif"/>
          <w:b/>
          <w:bCs/>
          <w:sz w:val="24"/>
          <w:szCs w:val="24"/>
        </w:rPr>
        <w:t xml:space="preserve">Google Spain</w:t>
      </w:r>
      <w:r>
        <w:rPr>
          <w:rFonts w:ascii="Liberation Serif" w:cs="Liberation Serif" w:eastAsia="Liberation Serif" w:hAnsi="Liberation Serif"/>
          <w:sz w:val="24"/>
          <w:szCs w:val="24"/>
        </w:rPr>
        <w:t xml:space="preserve"> (C-131/12), the Court distinguished between commercial economic interests, which carry less weight, and the public’s interest in accessing information, which may tip the balance against data protection in appropriate cases.</w:t>
      </w:r>
    </w:p>
    <w:p>
      <w:pPr>
        <w:spacing w:after="160"/>
        <w:ind w:left="480"/>
        <w:jc w:val="both"/>
      </w:pPr>
      <w:r>
        <w:rPr>
          <w:rFonts w:ascii="Liberation Serif" w:cs="Liberation Serif" w:eastAsia="Liberation Serif" w:hAnsi="Liberation Serif"/>
          <w:b/>
          <w:bCs/>
          <w:sz w:val="24"/>
          <w:szCs w:val="24"/>
        </w:rPr>
        <w:t xml:space="preserve">23.	</w:t>
      </w:r>
      <w:r>
        <w:rPr>
          <w:rFonts w:ascii="Liberation Serif" w:cs="Liberation Serif" w:eastAsia="Liberation Serif" w:hAnsi="Liberation Serif"/>
          <w:sz w:val="24"/>
          <w:szCs w:val="24"/>
        </w:rPr>
        <w:t xml:space="preserve">SCRIPTUM’s activities are non-commercial and serve the public interest. Training lawyers in responsible AI use improves the quality of legal services. Training medical practitioners reduces the risk of misuse. This educational purpose carries significantly more weight in the balancing exercise than the commercial advertising at issue in cases such as Meta Platforms (Bundeskartellamt).</w:t>
      </w:r>
    </w:p>
    <w:p>
      <w:pPr>
        <w:pStyle w:val="Heading2"/>
        <w:spacing w:after="120" w:before="240"/>
      </w:pPr>
      <w:r>
        <w:rPr>
          <w:rFonts w:ascii="Liberation Serif" w:cs="Liberation Serif" w:eastAsia="Liberation Serif" w:hAnsi="Liberation Serif"/>
          <w:b/>
          <w:bCs/>
          <w:i/>
          <w:iCs/>
          <w:sz w:val="24"/>
          <w:szCs w:val="24"/>
        </w:rPr>
        <w:t xml:space="preserve">C. Meta Platforms (Bundeskartellamt) is distinguishable</w:t>
      </w:r>
    </w:p>
    <w:p>
      <w:pPr>
        <w:spacing w:after="160"/>
        <w:ind w:left="480"/>
        <w:jc w:val="both"/>
      </w:pPr>
      <w:r>
        <w:rPr>
          <w:rFonts w:ascii="Liberation Serif" w:cs="Liberation Serif" w:eastAsia="Liberation Serif" w:hAnsi="Liberation Serif"/>
          <w:b/>
          <w:bCs/>
          <w:sz w:val="24"/>
          <w:szCs w:val="24"/>
        </w:rPr>
        <w:t xml:space="preserve">24.	</w:t>
      </w:r>
      <w:r>
        <w:rPr>
          <w:rFonts w:ascii="Liberation Serif" w:cs="Liberation Serif" w:eastAsia="Liberation Serif" w:hAnsi="Liberation Serif"/>
          <w:sz w:val="24"/>
          <w:szCs w:val="24"/>
        </w:rPr>
        <w:t xml:space="preserve">The DPA may rely on the Court’s holding in </w:t>
      </w:r>
      <w:r>
        <w:rPr>
          <w:rFonts w:ascii="Liberation Serif" w:cs="Liberation Serif" w:eastAsia="Liberation Serif" w:hAnsi="Liberation Serif"/>
          <w:b/>
          <w:bCs/>
          <w:sz w:val="24"/>
          <w:szCs w:val="24"/>
        </w:rPr>
        <w:t xml:space="preserve">Meta Platforms</w:t>
      </w:r>
      <w:r>
        <w:rPr>
          <w:rFonts w:ascii="Liberation Serif" w:cs="Liberation Serif" w:eastAsia="Liberation Serif" w:hAnsi="Liberation Serif"/>
          <w:sz w:val="24"/>
          <w:szCs w:val="24"/>
        </w:rPr>
        <w:t xml:space="preserve"> (C-252/21) that personalised content delivery based on profiling was ‘not objectively indispensable’ for the provision of a social network. That case concerned a dominant commercial platform that aggregated user data across third-party websites for the purpose of behavioural advertising aimed at revenue extraction. SCRIPTUM is neither dominant nor commercial. It does not aggregate data from external sources. It does not sell advertising. It uses professional profile data, voluntarily provided by participants, to tailor educational content to each participant’s professional field. The factual matrix is fundamentally different.</w:t>
      </w:r>
    </w:p>
    <w:p>
      <w:pPr>
        <w:pStyle w:val="Heading2"/>
        <w:spacing w:after="120" w:before="240"/>
      </w:pPr>
      <w:r>
        <w:rPr>
          <w:rFonts w:ascii="Liberation Serif" w:cs="Liberation Serif" w:eastAsia="Liberation Serif" w:hAnsi="Liberation Serif"/>
          <w:b/>
          <w:bCs/>
          <w:i/>
          <w:iCs/>
          <w:sz w:val="24"/>
          <w:szCs w:val="24"/>
        </w:rPr>
        <w:t xml:space="preserve">D. A blanket prohibition fails the necessity test</w:t>
      </w:r>
    </w:p>
    <w:p>
      <w:pPr>
        <w:spacing w:after="160"/>
        <w:ind w:left="480"/>
        <w:jc w:val="both"/>
      </w:pPr>
      <w:r>
        <w:rPr>
          <w:rFonts w:ascii="Liberation Serif" w:cs="Liberation Serif" w:eastAsia="Liberation Serif" w:hAnsi="Liberation Serif"/>
          <w:b/>
          <w:bCs/>
          <w:sz w:val="24"/>
          <w:szCs w:val="24"/>
        </w:rPr>
        <w:t xml:space="preserve">25.	</w:t>
      </w:r>
      <w:r>
        <w:rPr>
          <w:rFonts w:ascii="Liberation Serif" w:cs="Liberation Serif" w:eastAsia="Liberation Serif" w:hAnsi="Liberation Serif"/>
          <w:sz w:val="24"/>
          <w:szCs w:val="24"/>
        </w:rPr>
        <w:t xml:space="preserve">Under the necessity limb of the proportionality test, the restriction must be the least restrictive measure capable of achieving the legitimate aim. The legitimate aim here — protecting the data subjects’ privacy — can be achieved through measures less restrictive than a blanket prohibition on profiling-based educational targeting. Such alternatives include: requiring explicit opt-in consent for profiled recommendations (which SCRIPTUM already provides through the Adept registration); providing transparent information about the profiling methodology (which the Crucible’s privacy policy does); limiting retention periods for profile data; and permitting cohort-based rather than individual profiling. A blanket prohibition, which prevents SCRIPTUM from tailoring educational content even to willing recipients who have specifically opted in, goes beyond what is necessary.</w:t>
      </w:r>
    </w:p>
    <w:p>
      <w:pPr>
        <w:pStyle w:val="Heading2"/>
        <w:spacing w:after="120" w:before="240"/>
      </w:pPr>
      <w:r>
        <w:rPr>
          <w:rFonts w:ascii="Liberation Serif" w:cs="Liberation Serif" w:eastAsia="Liberation Serif" w:hAnsi="Liberation Serif"/>
          <w:b/>
          <w:bCs/>
          <w:i/>
          <w:iCs/>
          <w:sz w:val="24"/>
          <w:szCs w:val="24"/>
        </w:rPr>
        <w:t xml:space="preserve">E. The GDPR itself recognises the need for reconciliation</w:t>
      </w:r>
    </w:p>
    <w:p>
      <w:pPr>
        <w:spacing w:after="160"/>
        <w:ind w:left="480"/>
        <w:jc w:val="both"/>
      </w:pPr>
      <w:r>
        <w:rPr>
          <w:rFonts w:ascii="Liberation Serif" w:cs="Liberation Serif" w:eastAsia="Liberation Serif" w:hAnsi="Liberation Serif"/>
          <w:b/>
          <w:bCs/>
          <w:sz w:val="24"/>
          <w:szCs w:val="24"/>
        </w:rPr>
        <w:t xml:space="preserve">26.	</w:t>
      </w:r>
      <w:r>
        <w:rPr>
          <w:rFonts w:ascii="Liberation Serif" w:cs="Liberation Serif" w:eastAsia="Liberation Serif" w:hAnsi="Liberation Serif"/>
          <w:sz w:val="24"/>
          <w:szCs w:val="24"/>
        </w:rPr>
        <w:t xml:space="preserve">The GDPR acknowledges that data protection is not an absolute right. Recital 4 provides that the right to data protection ‘must be considered in relation to its function in society and be balanced against other fundamental rights, in accordance with the principle of proportionality.’ Article 85 specifically requires Member States to reconcile data protection with freedom of expression and ‘processing for academic purposes.’ Article 89 provides derogations from Articles 15, 16, 18, and 21 for processing carried out for scientific research purposes, subject to appropriate safeguards. These provisions demonstrate the legislature’s recognition that GDPR restrictions must yield where they disproportionately impair educational and scientific activities.</w:t>
      </w:r>
    </w:p>
    <w:p>
      <w:pPr>
        <w:spacing w:after="160"/>
        <w:ind w:left="480"/>
        <w:jc w:val="both"/>
      </w:pPr>
      <w:r>
        <w:rPr>
          <w:rFonts w:ascii="Liberation Serif" w:cs="Liberation Serif" w:eastAsia="Liberation Serif" w:hAnsi="Liberation Serif"/>
          <w:b/>
          <w:bCs/>
          <w:sz w:val="24"/>
          <w:szCs w:val="24"/>
        </w:rPr>
        <w:t xml:space="preserve">27.	</w:t>
      </w:r>
      <w:r>
        <w:rPr>
          <w:rFonts w:ascii="Liberation Serif" w:cs="Liberation Serif" w:eastAsia="Liberation Serif" w:hAnsi="Liberation Serif"/>
          <w:sz w:val="24"/>
          <w:szCs w:val="24"/>
        </w:rPr>
        <w:t xml:space="preserve">SCRIPTUM submits that the third question should be answered as follows: restrictions on the targeted dissemination of educational content on the basis of professional profiling must be assessed for compatibility with Articles 11 and 13 of the Charter through a proportionality analysis under Article 52(1). Where the profiling serves a non-commercial, public-interest educational purpose, where the data subjects have voluntarily opted in, and where less restrictive alternatives exist to protect their privacy, a blanket prohibition is disproportionate and incompatible with the Charter.</w:t>
      </w:r>
    </w:p>
    <w:p>
      <w:pPr>
        <w:pStyle w:val="Heading1"/>
        <w:spacing w:after="200" w:before="400"/>
      </w:pPr>
      <w:r>
        <w:rPr>
          <w:rFonts w:ascii="Liberation Serif" w:cs="Liberation Serif" w:eastAsia="Liberation Serif" w:hAnsi="Liberation Serif"/>
          <w:b/>
          <w:bCs/>
          <w:sz w:val="26"/>
          <w:szCs w:val="26"/>
        </w:rPr>
        <w:t xml:space="preserve">V. Question 4: Consent Was Freely Given</w:t>
      </w:r>
    </w:p>
    <w:p>
      <w:pPr>
        <w:pStyle w:val="Heading2"/>
        <w:spacing w:after="120" w:before="240"/>
      </w:pPr>
      <w:r>
        <w:rPr>
          <w:rFonts w:ascii="Liberation Serif" w:cs="Liberation Serif" w:eastAsia="Liberation Serif" w:hAnsi="Liberation Serif"/>
          <w:b/>
          <w:bCs/>
          <w:i/>
          <w:iCs/>
          <w:sz w:val="24"/>
          <w:szCs w:val="24"/>
        </w:rPr>
        <w:t xml:space="preserve">A. The main service was available without consent</w:t>
      </w:r>
    </w:p>
    <w:p>
      <w:pPr>
        <w:spacing w:after="160"/>
        <w:ind w:left="480"/>
        <w:jc w:val="both"/>
      </w:pPr>
      <w:r>
        <w:rPr>
          <w:rFonts w:ascii="Liberation Serif" w:cs="Liberation Serif" w:eastAsia="Liberation Serif" w:hAnsi="Liberation Serif"/>
          <w:b/>
          <w:bCs/>
          <w:sz w:val="24"/>
          <w:szCs w:val="24"/>
        </w:rPr>
        <w:t xml:space="preserve">28.	</w:t>
      </w:r>
      <w:r>
        <w:rPr>
          <w:rFonts w:ascii="Liberation Serif" w:cs="Liberation Serif" w:eastAsia="Liberation Serif" w:hAnsi="Liberation Serif"/>
          <w:sz w:val="24"/>
          <w:szCs w:val="24"/>
        </w:rPr>
        <w:t xml:space="preserve">Article 7(4) GDPR provides that, when assessing whether consent is freely given, ‘utmost account shall be taken of whether, inter alia, the performance of a contract, including the provision of a service, is conditional on consent to the processing of personal data that is not necessary for the performance of that contract.’ Recital 43 reinforces this by providing that consent is presumed not to be freely given where ‘the performance of a contract, including the provision of a service, is dependent on the consent despite such consent not being necessary for such performance.’</w:t>
      </w:r>
    </w:p>
    <w:p>
      <w:pPr>
        <w:spacing w:after="160"/>
        <w:ind w:left="480"/>
        <w:jc w:val="both"/>
      </w:pPr>
      <w:r>
        <w:rPr>
          <w:rFonts w:ascii="Liberation Serif" w:cs="Liberation Serif" w:eastAsia="Liberation Serif" w:hAnsi="Liberation Serif"/>
          <w:b/>
          <w:bCs/>
          <w:sz w:val="24"/>
          <w:szCs w:val="24"/>
        </w:rPr>
        <w:t xml:space="preserve">29.	</w:t>
      </w:r>
      <w:r>
        <w:rPr>
          <w:rFonts w:ascii="Liberation Serif" w:cs="Liberation Serif" w:eastAsia="Liberation Serif" w:hAnsi="Liberation Serif"/>
          <w:sz w:val="24"/>
          <w:szCs w:val="24"/>
        </w:rPr>
        <w:t xml:space="preserve">The critical distinction is between the main service and additional services. SCRIPTUM’s main service — training events held at universities — was available to all participants regardless of whether they used the Crucible. Participation in the event, attendance at the training sessions, receipt of printed materials, and interaction with SCRIPTUM’s instructors did not require registration on the Crucible, completion of the Formulary, or consent to any data processing. The Crucible was an optional, supplementary tool that participants could freely choose to use or not to use.</w:t>
      </w:r>
    </w:p>
    <w:p>
      <w:pPr>
        <w:pStyle w:val="Heading2"/>
        <w:spacing w:after="120" w:before="240"/>
      </w:pPr>
      <w:r>
        <w:rPr>
          <w:rFonts w:ascii="Liberation Serif" w:cs="Liberation Serif" w:eastAsia="Liberation Serif" w:hAnsi="Liberation Serif"/>
          <w:b/>
          <w:bCs/>
          <w:i/>
          <w:iCs/>
          <w:sz w:val="24"/>
          <w:szCs w:val="24"/>
        </w:rPr>
        <w:t xml:space="preserve">B. Planet49 and Orange Romania are distinguishable</w:t>
      </w:r>
    </w:p>
    <w:p>
      <w:pPr>
        <w:spacing w:after="160"/>
        <w:ind w:left="480"/>
        <w:jc w:val="both"/>
      </w:pPr>
      <w:r>
        <w:rPr>
          <w:rFonts w:ascii="Liberation Serif" w:cs="Liberation Serif" w:eastAsia="Liberation Serif" w:hAnsi="Liberation Serif"/>
          <w:b/>
          <w:bCs/>
          <w:sz w:val="24"/>
          <w:szCs w:val="24"/>
        </w:rPr>
        <w:t xml:space="preserve">30.	</w:t>
      </w:r>
      <w:r>
        <w:rPr>
          <w:rFonts w:ascii="Liberation Serif" w:cs="Liberation Serif" w:eastAsia="Liberation Serif" w:hAnsi="Liberation Serif"/>
          <w:sz w:val="24"/>
          <w:szCs w:val="24"/>
        </w:rPr>
        <w:t xml:space="preserve">In </w:t>
      </w:r>
      <w:r>
        <w:rPr>
          <w:rFonts w:ascii="Liberation Serif" w:cs="Liberation Serif" w:eastAsia="Liberation Serif" w:hAnsi="Liberation Serif"/>
          <w:b/>
          <w:bCs/>
          <w:sz w:val="24"/>
          <w:szCs w:val="24"/>
        </w:rPr>
        <w:t xml:space="preserve">Planet49</w:t>
      </w:r>
      <w:r>
        <w:rPr>
          <w:rFonts w:ascii="Liberation Serif" w:cs="Liberation Serif" w:eastAsia="Liberation Serif" w:hAnsi="Liberation Serif"/>
          <w:sz w:val="24"/>
          <w:szCs w:val="24"/>
        </w:rPr>
        <w:t xml:space="preserve"> (C-673/17), consent was invalid because it was inferred from participation in a promotional lottery — there was no separate affirmative act for the data processing at issue. In the present case, the Crucible presented a clear, separate consent pop-up requiring an active selection among three unticked options before any processing commenced. This satisfies the </w:t>
      </w:r>
      <w:r>
        <w:rPr>
          <w:rFonts w:ascii="Liberation Serif" w:cs="Liberation Serif" w:eastAsia="Liberation Serif" w:hAnsi="Liberation Serif"/>
          <w:b/>
          <w:bCs/>
          <w:sz w:val="24"/>
          <w:szCs w:val="24"/>
        </w:rPr>
        <w:t xml:space="preserve">Planet49</w:t>
      </w:r>
      <w:r>
        <w:rPr>
          <w:rFonts w:ascii="Liberation Serif" w:cs="Liberation Serif" w:eastAsia="Liberation Serif" w:hAnsi="Liberation Serif"/>
          <w:sz w:val="24"/>
          <w:szCs w:val="24"/>
        </w:rPr>
        <w:t xml:space="preserve"> requirement of a ‘clear affirmative act.’</w:t>
      </w:r>
    </w:p>
    <w:p>
      <w:pPr>
        <w:spacing w:after="160"/>
        <w:ind w:left="480"/>
        <w:jc w:val="both"/>
      </w:pPr>
      <w:r>
        <w:rPr>
          <w:rFonts w:ascii="Liberation Serif" w:cs="Liberation Serif" w:eastAsia="Liberation Serif" w:hAnsi="Liberation Serif"/>
          <w:b/>
          <w:bCs/>
          <w:sz w:val="24"/>
          <w:szCs w:val="24"/>
        </w:rPr>
        <w:t xml:space="preserve">31.	</w:t>
      </w:r>
      <w:r>
        <w:rPr>
          <w:rFonts w:ascii="Liberation Serif" w:cs="Liberation Serif" w:eastAsia="Liberation Serif" w:hAnsi="Liberation Serif"/>
          <w:sz w:val="24"/>
          <w:szCs w:val="24"/>
        </w:rPr>
        <w:t xml:space="preserve">In </w:t>
      </w:r>
      <w:r>
        <w:rPr>
          <w:rFonts w:ascii="Liberation Serif" w:cs="Liberation Serif" w:eastAsia="Liberation Serif" w:hAnsi="Liberation Serif"/>
          <w:b/>
          <w:bCs/>
          <w:sz w:val="24"/>
          <w:szCs w:val="24"/>
        </w:rPr>
        <w:t xml:space="preserve">Orange Romania</w:t>
      </w:r>
      <w:r>
        <w:rPr>
          <w:rFonts w:ascii="Liberation Serif" w:cs="Liberation Serif" w:eastAsia="Liberation Serif" w:hAnsi="Liberation Serif"/>
          <w:sz w:val="24"/>
          <w:szCs w:val="24"/>
        </w:rPr>
        <w:t xml:space="preserve"> (C-61/19), consent was invalid because the contract contained a pre-ticked clause and the contract terms misled the data subject about whether the contract could be concluded without consent. The Court emphasised that requiring completion of an ‘additional form to express refusal’ unduly affected the data subject’s freedom of choice. The Crucible’s mechanism was the opposite: the default state was no selection; the user had to actively choose ‘Yes’; and the ‘No’ option was equally prominent and did not require any additional steps.</w:t>
      </w:r>
    </w:p>
    <w:p>
      <w:pPr>
        <w:pStyle w:val="Heading2"/>
        <w:spacing w:after="120" w:before="240"/>
      </w:pPr>
      <w:r>
        <w:rPr>
          <w:rFonts w:ascii="Liberation Serif" w:cs="Liberation Serif" w:eastAsia="Liberation Serif" w:hAnsi="Liberation Serif"/>
          <w:b/>
          <w:bCs/>
          <w:i/>
          <w:iCs/>
          <w:sz w:val="24"/>
          <w:szCs w:val="24"/>
        </w:rPr>
        <w:t xml:space="preserve">C. No detriment existed for refusing consent</w:t>
      </w:r>
    </w:p>
    <w:p>
      <w:pPr>
        <w:spacing w:after="160"/>
        <w:ind w:left="480"/>
        <w:jc w:val="both"/>
      </w:pPr>
      <w:r>
        <w:rPr>
          <w:rFonts w:ascii="Liberation Serif" w:cs="Liberation Serif" w:eastAsia="Liberation Serif" w:hAnsi="Liberation Serif"/>
          <w:b/>
          <w:bCs/>
          <w:sz w:val="24"/>
          <w:szCs w:val="24"/>
        </w:rPr>
        <w:t xml:space="preserve">32.	</w:t>
      </w:r>
      <w:r>
        <w:rPr>
          <w:rFonts w:ascii="Liberation Serif" w:cs="Liberation Serif" w:eastAsia="Liberation Serif" w:hAnsi="Liberation Serif"/>
          <w:sz w:val="24"/>
          <w:szCs w:val="24"/>
        </w:rPr>
        <w:t xml:space="preserve">The EDPB Guidelines 05/2020 on consent establish, at paragraphs 47–48, that consent is not freely given where refusal results in ‘detriment’ to the data subject. Detriment may include a reduced quality of service, exclusion from benefits, or social pressure. Participants who declined to use the Crucible suffered no detriment: they could attend the full event, participate in all training sessions, receive all non-digital materials, ask questions, and interact with instructors. There was no reduced quality of the main service, no social sanction, and no exclusion from any component of the event other than the optional digital tool. The EDPB’s detriment test is clearly satisfied.</w:t>
      </w:r>
    </w:p>
    <w:p>
      <w:pPr>
        <w:pStyle w:val="Heading2"/>
        <w:spacing w:after="120" w:before="240"/>
      </w:pPr>
      <w:r>
        <w:rPr>
          <w:rFonts w:ascii="Liberation Serif" w:cs="Liberation Serif" w:eastAsia="Liberation Serif" w:hAnsi="Liberation Serif"/>
          <w:b/>
          <w:bCs/>
          <w:i/>
          <w:iCs/>
          <w:sz w:val="24"/>
          <w:szCs w:val="24"/>
        </w:rPr>
        <w:t xml:space="preserve">D. The processing was necessary for the provision of the Crucible service</w:t>
      </w:r>
    </w:p>
    <w:p>
      <w:pPr>
        <w:spacing w:after="160"/>
        <w:ind w:left="480"/>
        <w:jc w:val="both"/>
      </w:pPr>
      <w:r>
        <w:rPr>
          <w:rFonts w:ascii="Liberation Serif" w:cs="Liberation Serif" w:eastAsia="Liberation Serif" w:hAnsi="Liberation Serif"/>
          <w:b/>
          <w:bCs/>
          <w:sz w:val="24"/>
          <w:szCs w:val="24"/>
        </w:rPr>
        <w:t xml:space="preserve">33.	</w:t>
      </w:r>
      <w:r>
        <w:rPr>
          <w:rFonts w:ascii="Liberation Serif" w:cs="Liberation Serif" w:eastAsia="Liberation Serif" w:hAnsi="Liberation Serif"/>
          <w:sz w:val="24"/>
          <w:szCs w:val="24"/>
        </w:rPr>
        <w:t xml:space="preserve">Article 7(4) targets situations where a controller demands consent to processing that is ‘not necessary’ for the service being provided. For the Crucible, the data processing was inherently necessary: the Formulary cannot generate personalised feedback, recommendations, or an alchemical mastery score without analysing the participant’s prompts. The connection between the processing and the service is not merely ancillary — it is constitutive. This is not a case where a service provider demands consent to extraneous processing (such as behavioural advertising) as a condition for an unrelated service (such as a social network). The Crucible’s data processing is the service.</w:t>
      </w:r>
    </w:p>
    <w:p>
      <w:pPr>
        <w:pStyle w:val="Heading2"/>
        <w:spacing w:after="120" w:before="240"/>
      </w:pPr>
      <w:r>
        <w:rPr>
          <w:rFonts w:ascii="Liberation Serif" w:cs="Liberation Serif" w:eastAsia="Liberation Serif" w:hAnsi="Liberation Serif"/>
          <w:b/>
          <w:bCs/>
          <w:i/>
          <w:iCs/>
          <w:sz w:val="24"/>
          <w:szCs w:val="24"/>
        </w:rPr>
        <w:t xml:space="preserve">E. No power imbalance vitiates consent</w:t>
      </w:r>
    </w:p>
    <w:p>
      <w:pPr>
        <w:spacing w:after="160"/>
        <w:ind w:left="480"/>
        <w:jc w:val="both"/>
      </w:pPr>
      <w:r>
        <w:rPr>
          <w:rFonts w:ascii="Liberation Serif" w:cs="Liberation Serif" w:eastAsia="Liberation Serif" w:hAnsi="Liberation Serif"/>
          <w:b/>
          <w:bCs/>
          <w:sz w:val="24"/>
          <w:szCs w:val="24"/>
        </w:rPr>
        <w:t xml:space="preserve">34.	</w:t>
      </w:r>
      <w:r>
        <w:rPr>
          <w:rFonts w:ascii="Liberation Serif" w:cs="Liberation Serif" w:eastAsia="Liberation Serif" w:hAnsi="Liberation Serif"/>
          <w:sz w:val="24"/>
          <w:szCs w:val="24"/>
        </w:rPr>
        <w:t xml:space="preserve">Recital 43 notes that consent is unlikely to be freely given where there is ‘a clear imbalance between the data subject and the controller, in particular where the controller is a public authority.’ In </w:t>
      </w:r>
      <w:r>
        <w:rPr>
          <w:rFonts w:ascii="Liberation Serif" w:cs="Liberation Serif" w:eastAsia="Liberation Serif" w:hAnsi="Liberation Serif"/>
          <w:b/>
          <w:bCs/>
          <w:sz w:val="24"/>
          <w:szCs w:val="24"/>
        </w:rPr>
        <w:t xml:space="preserve">Meta Platforms</w:t>
      </w:r>
      <w:r>
        <w:rPr>
          <w:rFonts w:ascii="Liberation Serif" w:cs="Liberation Serif" w:eastAsia="Liberation Serif" w:hAnsi="Liberation Serif"/>
          <w:sz w:val="24"/>
          <w:szCs w:val="24"/>
        </w:rPr>
        <w:t xml:space="preserve"> (C-252/21), the Court held that a dominant market position is ‘an important factor’ in assessing whether consent is free, because dominance ‘is liable to affect the freedom of choice.’ SCRIPTUM is neither a public authority nor a dominant undertaking. It is a non-profit educational organisation. The participants were adult professionals — lawyers, medical practitioners, financial analysts — who are accustomed to making informed decisions about data processing in their daily work. No power imbalance of the kind contemplated by Recital 43 or the </w:t>
      </w:r>
      <w:r>
        <w:rPr>
          <w:rFonts w:ascii="Liberation Serif" w:cs="Liberation Serif" w:eastAsia="Liberation Serif" w:hAnsi="Liberation Serif"/>
          <w:i/>
          <w:iCs/>
          <w:sz w:val="24"/>
          <w:szCs w:val="24"/>
        </w:rPr>
        <w:t xml:space="preserve">Meta Platforms</w:t>
      </w:r>
      <w:r>
        <w:rPr>
          <w:rFonts w:ascii="Liberation Serif" w:cs="Liberation Serif" w:eastAsia="Liberation Serif" w:hAnsi="Liberation Serif"/>
          <w:sz w:val="24"/>
          <w:szCs w:val="24"/>
        </w:rPr>
        <w:t xml:space="preserve"> judgment exists in this context.</w:t>
      </w:r>
    </w:p>
    <w:p>
      <w:pPr>
        <w:spacing w:after="160"/>
        <w:ind w:left="480"/>
        <w:jc w:val="both"/>
      </w:pPr>
      <w:r>
        <w:rPr>
          <w:rFonts w:ascii="Liberation Serif" w:cs="Liberation Serif" w:eastAsia="Liberation Serif" w:hAnsi="Liberation Serif"/>
          <w:b/>
          <w:bCs/>
          <w:sz w:val="24"/>
          <w:szCs w:val="24"/>
        </w:rPr>
        <w:t xml:space="preserve">35.	</w:t>
      </w:r>
      <w:r>
        <w:rPr>
          <w:rFonts w:ascii="Liberation Serif" w:cs="Liberation Serif" w:eastAsia="Liberation Serif" w:hAnsi="Liberation Serif"/>
          <w:sz w:val="24"/>
          <w:szCs w:val="24"/>
        </w:rPr>
        <w:t xml:space="preserve">SCRIPTUM submits that the fourth question should be answered as follows: the requirement of ‘freely given’ consent in Article 7 GDPR does not preclude the validity of consent where the processing of personal data is a condition for access to an additional digital service provided in the context of a free educational event, given that: (i) the main service is available without such consent; (ii) the data subject has a genuine, uncoerced choice communicated through clear, unticked options; (iii) refusal entails no detriment to the data subject; (iv) the processing is necessary for the provision of the additional service itself; and (v) no power imbalance between the controller and the data subject vitiates the consent.</w:t>
      </w:r>
    </w:p>
    <w:p>
      <w:pPr>
        <w:pStyle w:val="Heading1"/>
        <w:spacing w:after="200" w:before="400"/>
      </w:pPr>
      <w:r>
        <w:rPr>
          <w:rFonts w:ascii="Liberation Serif" w:cs="Liberation Serif" w:eastAsia="Liberation Serif" w:hAnsi="Liberation Serif"/>
          <w:b/>
          <w:bCs/>
          <w:sz w:val="26"/>
          <w:szCs w:val="26"/>
        </w:rPr>
        <w:t xml:space="preserve">VI. Conclusion</w:t>
      </w:r>
    </w:p>
    <w:p>
      <w:pPr>
        <w:spacing w:after="160"/>
        <w:ind w:left="480"/>
        <w:jc w:val="both"/>
      </w:pPr>
      <w:r>
        <w:rPr>
          <w:rFonts w:ascii="Liberation Serif" w:cs="Liberation Serif" w:eastAsia="Liberation Serif" w:hAnsi="Liberation Serif"/>
          <w:b/>
          <w:bCs/>
          <w:sz w:val="24"/>
          <w:szCs w:val="24"/>
        </w:rPr>
        <w:t xml:space="preserve">36.	</w:t>
      </w:r>
      <w:r>
        <w:rPr>
          <w:rFonts w:ascii="Liberation Serif" w:cs="Liberation Serif" w:eastAsia="Liberation Serif" w:hAnsi="Liberation Serif"/>
          <w:sz w:val="24"/>
          <w:szCs w:val="24"/>
        </w:rPr>
        <w:t xml:space="preserve">For the foregoing reasons, SCRIPTUM respectfully requests that the Court of Justice answer the preliminary reference questions as follows:</w:t>
      </w:r>
    </w:p>
    <w:p>
      <w:pPr>
        <w:pStyle w:val="ListParagraph"/>
        <w:numPr>
          <w:ilvl w:val="0"/>
          <w:numId w:val="2"/>
        </w:numPr>
        <w:spacing w:after="140"/>
        <w:jc w:val="both"/>
      </w:pPr>
      <w:r>
        <w:rPr>
          <w:rFonts w:ascii="Liberation Serif" w:cs="Liberation Serif" w:eastAsia="Liberation Serif" w:hAnsi="Liberation Serif"/>
          <w:sz w:val="24"/>
          <w:szCs w:val="24"/>
        </w:rPr>
        <w:t xml:space="preserve">Textual prompts entered into an AI system constitute personal data within the meaning of Article 4(1) GDPR only where they contain identifiers of natural persons, or where the controller has reasonable means to link the prompt to an identified person through accompanying metadata. The prompt as such, as a functional instruction, does not constitute personal data. Transmission to a third-party operator does not alter this analysis where prompts are transmitted without accompanying identifiers.</w:t>
      </w:r>
    </w:p>
    <w:p>
      <w:pPr>
        <w:pStyle w:val="ListParagraph"/>
        <w:numPr>
          <w:ilvl w:val="0"/>
          <w:numId w:val="2"/>
        </w:numPr>
        <w:spacing w:after="140"/>
        <w:jc w:val="both"/>
      </w:pPr>
      <w:r>
        <w:rPr>
          <w:rFonts w:ascii="Liberation Serif" w:cs="Liberation Serif" w:eastAsia="Liberation Serif" w:hAnsi="Liberation Serif"/>
          <w:sz w:val="24"/>
          <w:szCs w:val="24"/>
        </w:rPr>
        <w:t xml:space="preserve">The concept of ‘AI system’ in Article 3(1) of Regulation 2024/1689 does not encompass deterministic scoring algorithms applying human-defined rules and weights that do not derive models or algorithms from data, do not employ machine learning, and exercise no autonomous judgment.</w:t>
      </w:r>
    </w:p>
    <w:p>
      <w:pPr>
        <w:pStyle w:val="ListParagraph"/>
        <w:numPr>
          <w:ilvl w:val="0"/>
          <w:numId w:val="2"/>
        </w:numPr>
        <w:spacing w:after="140"/>
        <w:jc w:val="both"/>
      </w:pPr>
      <w:r>
        <w:rPr>
          <w:rFonts w:ascii="Liberation Serif" w:cs="Liberation Serif" w:eastAsia="Liberation Serif" w:hAnsi="Liberation Serif"/>
          <w:sz w:val="24"/>
          <w:szCs w:val="24"/>
        </w:rPr>
        <w:t xml:space="preserve">Restrictions on profiling-based dissemination of educational content must be assessed under Article 52(1) of the Charter. A blanket prohibition is disproportionate where the profiling serves a non-commercial, public-interest educational purpose, data subjects have voluntarily opted in, and less restrictive alternatives exist.</w:t>
      </w:r>
    </w:p>
    <w:p>
      <w:pPr>
        <w:pStyle w:val="ListParagraph"/>
        <w:numPr>
          <w:ilvl w:val="0"/>
          <w:numId w:val="2"/>
        </w:numPr>
        <w:spacing w:after="140"/>
        <w:jc w:val="both"/>
      </w:pPr>
      <w:r>
        <w:rPr>
          <w:rFonts w:ascii="Liberation Serif" w:cs="Liberation Serif" w:eastAsia="Liberation Serif" w:hAnsi="Liberation Serif"/>
          <w:sz w:val="24"/>
          <w:szCs w:val="24"/>
        </w:rPr>
        <w:t xml:space="preserve">Consent is freely given within the meaning of Article 7 GDPR where the main service is available without consent, the data subject has a genuine and uncoerced choice, refusal entails no detriment, the processing is necessary for the additional service, and no power imbalance vitiates the consent.</w:t>
      </w:r>
    </w:p>
    <w:p>
      <w:r>
        <w:br w:type="page"/>
      </w:r>
    </w:p>
    <w:p>
      <w:pPr>
        <w:pStyle w:val="Heading1"/>
        <w:spacing w:after="200" w:before="400"/>
      </w:pPr>
      <w:r>
        <w:rPr>
          <w:rFonts w:ascii="Liberation Serif" w:cs="Liberation Serif" w:eastAsia="Liberation Serif" w:hAnsi="Liberation Serif"/>
          <w:b/>
          <w:bCs/>
          <w:sz w:val="26"/>
          <w:szCs w:val="26"/>
        </w:rPr>
        <w:t xml:space="preserve">List of References</w:t>
      </w:r>
    </w:p>
    <w:p>
      <w:pPr>
        <w:spacing w:after="80" w:before="240"/>
      </w:pPr>
      <w:r>
        <w:rPr>
          <w:rFonts w:ascii="Liberation Serif" w:cs="Liberation Serif" w:eastAsia="Liberation Serif" w:hAnsi="Liberation Serif"/>
          <w:b/>
          <w:bCs/>
          <w:i/>
          <w:iCs/>
          <w:sz w:val="24"/>
          <w:szCs w:val="24"/>
        </w:rPr>
        <w:t xml:space="preserve">Legislation</w:t>
      </w:r>
    </w:p>
    <w:p>
      <w:pPr>
        <w:spacing w:after="60"/>
        <w:ind w:left="360" w:hanging="360"/>
      </w:pPr>
      <w:r>
        <w:rPr>
          <w:rFonts w:ascii="Liberation Serif" w:cs="Liberation Serif" w:eastAsia="Liberation Serif" w:hAnsi="Liberation Serif"/>
          <w:sz w:val="22"/>
          <w:szCs w:val="22"/>
        </w:rPr>
        <w:t xml:space="preserve">Charter of Fundamental Rights of the European Union [2012] OJ C 326/391</w:t>
      </w:r>
    </w:p>
    <w:p>
      <w:pPr>
        <w:spacing w:after="60"/>
        <w:ind w:left="360" w:hanging="360"/>
      </w:pPr>
      <w:r>
        <w:rPr>
          <w:rFonts w:ascii="Liberation Serif" w:cs="Liberation Serif" w:eastAsia="Liberation Serif" w:hAnsi="Liberation Serif"/>
          <w:sz w:val="22"/>
          <w:szCs w:val="22"/>
        </w:rPr>
        <w:t xml:space="preserve">Regulation (EU) 2016/679 of the European Parliament and of the Council of 27 April 2016 on the protection of natural persons with regard to the processing of personal data and on the free movement of such data (General Data Protection Regulation) [2016] OJ L 119/1</w:t>
      </w:r>
    </w:p>
    <w:p>
      <w:pPr>
        <w:spacing w:after="60"/>
        <w:ind w:left="360" w:hanging="360"/>
      </w:pPr>
      <w:r>
        <w:rPr>
          <w:rFonts w:ascii="Liberation Serif" w:cs="Liberation Serif" w:eastAsia="Liberation Serif" w:hAnsi="Liberation Serif"/>
          <w:sz w:val="22"/>
          <w:szCs w:val="22"/>
        </w:rPr>
        <w:t xml:space="preserve">Regulation (EU) 2024/1689 of the European Parliament and of the Council of 13 June 2024 laying down harmonised rules on artificial intelligence (Artificial Intelligence Act) [2024] OJ L 2024/1689</w:t>
      </w:r>
    </w:p>
    <w:p>
      <w:pPr>
        <w:spacing w:after="60"/>
        <w:ind w:left="360" w:hanging="360"/>
      </w:pPr>
      <w:r>
        <w:rPr>
          <w:rFonts w:ascii="Liberation Serif" w:cs="Liberation Serif" w:eastAsia="Liberation Serif" w:hAnsi="Liberation Serif"/>
          <w:sz w:val="22"/>
          <w:szCs w:val="22"/>
        </w:rPr>
        <w:t xml:space="preserve">European Commission, Proposal for a Regulation of the European Parliament and of the Council laying down harmonised rules on artificial intelligence (Artificial Intelligence Act) and amending certain Union legislative acts, COM(2021) 206 final</w:t>
      </w:r>
    </w:p>
    <w:p>
      <w:pPr>
        <w:spacing w:after="80" w:before="240"/>
      </w:pPr>
      <w:r>
        <w:rPr>
          <w:rFonts w:ascii="Liberation Serif" w:cs="Liberation Serif" w:eastAsia="Liberation Serif" w:hAnsi="Liberation Serif"/>
          <w:b/>
          <w:bCs/>
          <w:i/>
          <w:iCs/>
          <w:sz w:val="24"/>
          <w:szCs w:val="24"/>
        </w:rPr>
        <w:t xml:space="preserve">Case Law of the Court of Justice</w:t>
      </w:r>
    </w:p>
    <w:p>
      <w:pPr>
        <w:spacing w:after="60"/>
        <w:ind w:left="360" w:hanging="360"/>
      </w:pPr>
      <w:r>
        <w:rPr>
          <w:rFonts w:ascii="Liberation Serif" w:cs="Liberation Serif" w:eastAsia="Liberation Serif" w:hAnsi="Liberation Serif"/>
          <w:sz w:val="22"/>
          <w:szCs w:val="22"/>
        </w:rPr>
        <w:t xml:space="preserve">Case C-275/06 Productores de Música de España (Promusicae) v Telefónica de España SAU [2008] ECLI:EU:C:2008:54</w:t>
      </w:r>
    </w:p>
    <w:p>
      <w:pPr>
        <w:spacing w:after="60"/>
        <w:ind w:left="360" w:hanging="360"/>
      </w:pPr>
      <w:r>
        <w:rPr>
          <w:rFonts w:ascii="Liberation Serif" w:cs="Liberation Serif" w:eastAsia="Liberation Serif" w:hAnsi="Liberation Serif"/>
          <w:sz w:val="22"/>
          <w:szCs w:val="22"/>
        </w:rPr>
        <w:t xml:space="preserve">Case C-73/07 Tietosuojavaltuutettu v Satakunnan Markkinapörssi Oy (Satamedia) [2008] ECLI:EU:C:2008:727</w:t>
      </w:r>
    </w:p>
    <w:p>
      <w:pPr>
        <w:spacing w:after="60"/>
        <w:ind w:left="360" w:hanging="360"/>
      </w:pPr>
      <w:r>
        <w:rPr>
          <w:rFonts w:ascii="Liberation Serif" w:cs="Liberation Serif" w:eastAsia="Liberation Serif" w:hAnsi="Liberation Serif"/>
          <w:sz w:val="22"/>
          <w:szCs w:val="22"/>
        </w:rPr>
        <w:t xml:space="preserve">Case C-131/12 Google Spain SL v Agencia Española de Protección de Datos (Google Spain) [2014] ECLI:EU:C:2014:317</w:t>
      </w:r>
    </w:p>
    <w:p>
      <w:pPr>
        <w:spacing w:after="60"/>
        <w:ind w:left="360" w:hanging="360"/>
      </w:pPr>
      <w:r>
        <w:rPr>
          <w:rFonts w:ascii="Liberation Serif" w:cs="Liberation Serif" w:eastAsia="Liberation Serif" w:hAnsi="Liberation Serif"/>
          <w:sz w:val="22"/>
          <w:szCs w:val="22"/>
        </w:rPr>
        <w:t xml:space="preserve">Case C-582/14 Patrick Breyer v Bundesrepublik Deutschland (Breyer) [2016] ECLI:EU:C:2016:779</w:t>
      </w:r>
    </w:p>
    <w:p>
      <w:pPr>
        <w:spacing w:after="60"/>
        <w:ind w:left="360" w:hanging="360"/>
      </w:pPr>
      <w:r>
        <w:rPr>
          <w:rFonts w:ascii="Liberation Serif" w:cs="Liberation Serif" w:eastAsia="Liberation Serif" w:hAnsi="Liberation Serif"/>
          <w:sz w:val="22"/>
          <w:szCs w:val="22"/>
        </w:rPr>
        <w:t xml:space="preserve">Case C-434/16 Peter Nowak v Data Protection Commissioner (Nowak) [2017] ECLI:EU:C:2017:994</w:t>
      </w:r>
    </w:p>
    <w:p>
      <w:pPr>
        <w:spacing w:after="60"/>
        <w:ind w:left="360" w:hanging="360"/>
      </w:pPr>
      <w:r>
        <w:rPr>
          <w:rFonts w:ascii="Liberation Serif" w:cs="Liberation Serif" w:eastAsia="Liberation Serif" w:hAnsi="Liberation Serif"/>
          <w:sz w:val="22"/>
          <w:szCs w:val="22"/>
        </w:rPr>
        <w:t xml:space="preserve">Case C-136/17 GC and Others v Commission nationale de l’informatique et des libertés (GC and Others) [2019] ECLI:EU:C:2019:773</w:t>
      </w:r>
    </w:p>
    <w:p>
      <w:pPr>
        <w:spacing w:after="60"/>
        <w:ind w:left="360" w:hanging="360"/>
      </w:pPr>
      <w:r>
        <w:rPr>
          <w:rFonts w:ascii="Liberation Serif" w:cs="Liberation Serif" w:eastAsia="Liberation Serif" w:hAnsi="Liberation Serif"/>
          <w:sz w:val="22"/>
          <w:szCs w:val="22"/>
        </w:rPr>
        <w:t xml:space="preserve">Case C-673/17 Bundesverband der Verbraucherzentralen v Planet49 GmbH (Planet49) [2019] ECLI:EU:C:2019:801</w:t>
      </w:r>
    </w:p>
    <w:p>
      <w:pPr>
        <w:spacing w:after="60"/>
        <w:ind w:left="360" w:hanging="360"/>
      </w:pPr>
      <w:r>
        <w:rPr>
          <w:rFonts w:ascii="Liberation Serif" w:cs="Liberation Serif" w:eastAsia="Liberation Serif" w:hAnsi="Liberation Serif"/>
          <w:sz w:val="22"/>
          <w:szCs w:val="22"/>
        </w:rPr>
        <w:t xml:space="preserve">Case C-66/18 European Commission v Hungary (Commission v Hungary) [2020] ECLI:EU:C:2020:792</w:t>
      </w:r>
    </w:p>
    <w:p>
      <w:pPr>
        <w:spacing w:after="60"/>
        <w:ind w:left="360" w:hanging="360"/>
      </w:pPr>
      <w:r>
        <w:rPr>
          <w:rFonts w:ascii="Liberation Serif" w:cs="Liberation Serif" w:eastAsia="Liberation Serif" w:hAnsi="Liberation Serif"/>
          <w:sz w:val="22"/>
          <w:szCs w:val="22"/>
        </w:rPr>
        <w:t xml:space="preserve">Case C-61/19 Autoritatea Nationala de Supraveghere a Prelucrarii Datelor cu Caracter Personal v Orange Romania SA (Orange Romania) [2020] ECLI:EU:C:2020:901</w:t>
      </w:r>
    </w:p>
    <w:p>
      <w:pPr>
        <w:spacing w:after="60"/>
        <w:ind w:left="360" w:hanging="360"/>
      </w:pPr>
      <w:r>
        <w:rPr>
          <w:rFonts w:ascii="Liberation Serif" w:cs="Liberation Serif" w:eastAsia="Liberation Serif" w:hAnsi="Liberation Serif"/>
          <w:sz w:val="22"/>
          <w:szCs w:val="22"/>
        </w:rPr>
        <w:t xml:space="preserve">Case C-252/21 Meta Platforms Inc v Bundeskartellamt (Meta Platforms) [2023] ECLI:EU:C:2023:537</w:t>
      </w:r>
    </w:p>
    <w:p>
      <w:pPr>
        <w:spacing w:after="60"/>
        <w:ind w:left="360" w:hanging="360"/>
      </w:pPr>
      <w:r>
        <w:rPr>
          <w:rFonts w:ascii="Liberation Serif" w:cs="Liberation Serif" w:eastAsia="Liberation Serif" w:hAnsi="Liberation Serif"/>
          <w:sz w:val="22"/>
          <w:szCs w:val="22"/>
        </w:rPr>
        <w:t xml:space="preserve">Case C-413/23 P European Data Protection Supervisor v Single Resolution Board (EDPS v SRB) [2025]</w:t>
      </w:r>
    </w:p>
    <w:p>
      <w:pPr>
        <w:spacing w:after="80" w:before="240"/>
      </w:pPr>
      <w:r>
        <w:rPr>
          <w:rFonts w:ascii="Liberation Serif" w:cs="Liberation Serif" w:eastAsia="Liberation Serif" w:hAnsi="Liberation Serif"/>
          <w:b/>
          <w:bCs/>
          <w:i/>
          <w:iCs/>
          <w:sz w:val="24"/>
          <w:szCs w:val="24"/>
        </w:rPr>
        <w:t xml:space="preserve">Regulatory Guidance</w:t>
      </w:r>
    </w:p>
    <w:p>
      <w:pPr>
        <w:spacing w:after="60"/>
        <w:ind w:left="360" w:hanging="360"/>
      </w:pPr>
      <w:r>
        <w:rPr>
          <w:rFonts w:ascii="Liberation Serif" w:cs="Liberation Serif" w:eastAsia="Liberation Serif" w:hAnsi="Liberation Serif"/>
          <w:sz w:val="22"/>
          <w:szCs w:val="22"/>
        </w:rPr>
        <w:t xml:space="preserve">Article 29 Data Protection Working Party, ‘Opinion 4/2007 on the Concept of Personal Data’ (WP 136, 20 June 2007)</w:t>
      </w:r>
    </w:p>
    <w:p>
      <w:pPr>
        <w:spacing w:after="60"/>
        <w:ind w:left="360" w:hanging="360"/>
      </w:pPr>
      <w:r>
        <w:rPr>
          <w:rFonts w:ascii="Liberation Serif" w:cs="Liberation Serif" w:eastAsia="Liberation Serif" w:hAnsi="Liberation Serif"/>
          <w:sz w:val="22"/>
          <w:szCs w:val="22"/>
        </w:rPr>
        <w:t xml:space="preserve">European Data Protection Board, ‘Guidelines 05/2020 on Consent under Regulation 2016/679’ (Version 1.1, 4 May 2020)</w:t>
      </w:r>
    </w:p>
    <w:p>
      <w:pPr>
        <w:spacing w:after="60"/>
        <w:ind w:left="360" w:hanging="360"/>
      </w:pPr>
      <w:r>
        <w:rPr>
          <w:rFonts w:ascii="Liberation Serif" w:cs="Liberation Serif" w:eastAsia="Liberation Serif" w:hAnsi="Liberation Serif"/>
          <w:sz w:val="22"/>
          <w:szCs w:val="22"/>
        </w:rPr>
        <w:t xml:space="preserve">European Data Protection Board, ‘Report of the Work Undertaken by the ChatGPT Taskforce’ (23 May 2024)</w:t>
      </w:r>
    </w:p>
    <w:p>
      <w:pPr>
        <w:spacing w:after="60"/>
        <w:ind w:left="360" w:hanging="360"/>
      </w:pPr>
      <w:r>
        <w:rPr>
          <w:rFonts w:ascii="Liberation Serif" w:cs="Liberation Serif" w:eastAsia="Liberation Serif" w:hAnsi="Liberation Serif"/>
          <w:sz w:val="22"/>
          <w:szCs w:val="22"/>
        </w:rPr>
        <w:t xml:space="preserve">European Data Protection Board, ‘Opinion 28/2024 on Certain Data Protection Aspects Related to the Processing of Personal Data in the Context of AI Models’ (17 December 2024)</w:t>
      </w:r>
    </w:p>
    <w:p>
      <w:pPr>
        <w:spacing w:after="60"/>
        <w:ind w:left="360" w:hanging="360"/>
      </w:pPr>
      <w:r>
        <w:rPr>
          <w:rFonts w:ascii="Liberation Serif" w:cs="Liberation Serif" w:eastAsia="Liberation Serif" w:hAnsi="Liberation Serif"/>
          <w:sz w:val="22"/>
          <w:szCs w:val="22"/>
        </w:rPr>
        <w:t xml:space="preserve">European Commission, ‘Commission Guidelines on the Definition of an Artificial Intelligence System’ (C/2025/861, 6 February 2025)</w:t>
      </w:r>
    </w:p>
    <w:p>
      <w:pPr>
        <w:spacing w:after="60"/>
        <w:ind w:left="360" w:hanging="360"/>
      </w:pPr>
      <w:r>
        <w:rPr>
          <w:rFonts w:ascii="Liberation Serif" w:cs="Liberation Serif" w:eastAsia="Liberation Serif" w:hAnsi="Liberation Serif"/>
          <w:sz w:val="22"/>
          <w:szCs w:val="22"/>
        </w:rPr>
        <w:t xml:space="preserve">Organisation for Economic Co-operation and Development, ‘Explanatory Memorandum on the Updated OECD Definition of an AI System’ (OECD Artificial Intelligence Papers No 8, March 2024)</w:t>
      </w:r>
    </w:p>
    <w:p>
      <w:pPr>
        <w:spacing w:after="80" w:before="240"/>
      </w:pPr>
      <w:r>
        <w:rPr>
          <w:rFonts w:ascii="Liberation Serif" w:cs="Liberation Serif" w:eastAsia="Liberation Serif" w:hAnsi="Liberation Serif"/>
          <w:b/>
          <w:bCs/>
          <w:i/>
          <w:iCs/>
          <w:sz w:val="24"/>
          <w:szCs w:val="24"/>
        </w:rPr>
        <w:t xml:space="preserve">Academic Sources</w:t>
      </w:r>
    </w:p>
    <w:p>
      <w:pPr>
        <w:spacing w:after="60"/>
        <w:ind w:left="360" w:hanging="360"/>
      </w:pPr>
      <w:r>
        <w:rPr>
          <w:rFonts w:ascii="Liberation Serif" w:cs="Liberation Serif" w:eastAsia="Liberation Serif" w:hAnsi="Liberation Serif"/>
          <w:sz w:val="22"/>
          <w:szCs w:val="22"/>
        </w:rPr>
        <w:t xml:space="preserve">Purtova N, ‘The Law of Everything: Broad Concept of Personal Data and Future of EU Data Protection Law’ (2018) 10(1) International Data Privacy Law 40</w:t>
      </w:r>
    </w:p>
    <w:sectPr>
      <w:headerReference w:type="default" r:id="rId9"/>
      <w:footerReference w:type="default" r:id="rId10"/>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Liberation Serif" w:cs="Liberation Serif" w:eastAsia="Liberation Serif" w:hAnsi="Liberation Serif"/>
        <w:i/>
        <w:iCs/>
        <w:sz w:val="18"/>
        <w:szCs w:val="18"/>
      </w:rPr>
      <w:t xml:space="preserve">TEAM-ALC-2026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Liberation Serif" w:cs="Liberation Serif" w:eastAsia="Liberation Serif" w:hAnsi="Liberation Serif"/>
        <w:i/>
        <w:iCs/>
        <w:sz w:val="18"/>
        <w:szCs w:val="18"/>
      </w:rPr>
      <w:t xml:space="preserve">TEAM-ALC-2026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cs="Liberation Serif" w:eastAsia="Liberation Serif" w:hAnsi="Liberation Serif"/>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Liberation Serif" w:cs="Liberation Serif" w:eastAsia="Liberation Serif" w:hAnsi="Liberation Serif"/>
      <w:b/>
      <w:bCs/>
      <w:sz w:val="26"/>
      <w:szCs w:val="26"/>
    </w:rPr>
  </w:style>
  <w:style w:type="paragraph" w:styleId="Heading2">
    <w:name w:val="Heading 2"/>
    <w:basedOn w:val="Normal"/>
    <w:next w:val="Normal"/>
    <w:qFormat/>
    <w:pPr>
      <w:spacing w:after="120" w:before="240"/>
      <w:outlineLvl w:val="1"/>
    </w:pPr>
    <w:rPr>
      <w:rFonts w:ascii="Liberation Serif" w:cs="Liberation Serif" w:eastAsia="Liberation Serif" w:hAnsi="Liberation Serif"/>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2026-04-02T13:02:38.011Z</dcterms:created>
  <dcterms:modified xsi:type="dcterms:W3CDTF">2026-04-02T13:02:38.012Z</dcterms:modified>
</cp:coreProperties>
</file>

<file path=docProps/custom.xml><?xml version="1.0" encoding="utf-8"?>
<Properties xmlns="http://schemas.openxmlformats.org/officeDocument/2006/custom-properties" xmlns:vt="http://schemas.openxmlformats.org/officeDocument/2006/docPropsVTypes"/>
</file>