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4231" w14:textId="3772F1F3" w:rsidR="009E5A86" w:rsidRPr="00A5140A" w:rsidRDefault="00A5140A" w:rsidP="00394828">
      <w:pPr>
        <w:pStyle w:val="Heading1"/>
        <w:rPr>
          <w:sz w:val="52"/>
          <w:szCs w:val="52"/>
        </w:rPr>
      </w:pPr>
      <w:r w:rsidRPr="00A5140A">
        <w:rPr>
          <w:sz w:val="52"/>
          <w:szCs w:val="52"/>
        </w:rPr>
        <w:t xml:space="preserve">Summary of </w:t>
      </w:r>
      <w:r w:rsidR="00394828" w:rsidRPr="00A5140A">
        <w:rPr>
          <w:sz w:val="52"/>
          <w:szCs w:val="52"/>
        </w:rPr>
        <w:t>Uttarakhand Tourism Policy 2023</w:t>
      </w:r>
    </w:p>
    <w:p w14:paraId="2A825925" w14:textId="77777777" w:rsidR="00394828" w:rsidRPr="00394828" w:rsidRDefault="00394828" w:rsidP="00394828">
      <w:pPr>
        <w:jc w:val="both"/>
        <w:rPr>
          <w:rFonts w:ascii="Arial" w:hAnsi="Arial" w:cs="Arial"/>
        </w:rPr>
      </w:pPr>
      <w:r w:rsidRPr="00394828">
        <w:rPr>
          <w:rFonts w:ascii="Arial" w:hAnsi="Arial" w:cs="Arial"/>
        </w:rPr>
        <w:t xml:space="preserve">The Uttarakhand Tourism Policy 2023 presents a comprehensive roadmap for developing tourism in the state in a </w:t>
      </w:r>
      <w:r w:rsidRPr="00394828">
        <w:rPr>
          <w:rFonts w:ascii="Arial" w:hAnsi="Arial" w:cs="Arial"/>
          <w:b/>
          <w:bCs/>
        </w:rPr>
        <w:t>planned, sustainable, inclusive, and responsible manner</w:t>
      </w:r>
      <w:r w:rsidRPr="00394828">
        <w:rPr>
          <w:rFonts w:ascii="Arial" w:hAnsi="Arial" w:cs="Arial"/>
        </w:rPr>
        <w:t>. Uttarakhand is a Himalayan state with rich natural resources such as forests, rivers, mountains, wildlife, biodiversity, and deep spiritual and cultural heritage. Tourism is recognized as one of the most important sectors for economic growth, employment generation, and regional development. At the same time, the policy clearly emphasizes that tourism development must not harm the fragile Himalayan ecology and must respect local culture and traditions.</w:t>
      </w:r>
    </w:p>
    <w:p w14:paraId="65A2AA52" w14:textId="77777777" w:rsidR="00394828" w:rsidRPr="00394828" w:rsidRDefault="00394828" w:rsidP="00394828">
      <w:pPr>
        <w:jc w:val="both"/>
        <w:rPr>
          <w:rFonts w:ascii="Arial" w:hAnsi="Arial" w:cs="Arial"/>
        </w:rPr>
      </w:pPr>
      <w:r w:rsidRPr="00394828">
        <w:rPr>
          <w:rFonts w:ascii="Arial" w:hAnsi="Arial" w:cs="Arial"/>
        </w:rPr>
        <w:t>The policy aims to provide a clear and long-term framework for tourism development. It focuses on improving tourism infrastructure, services, facilities, and visitor experience while encouraging private investment and public–private partnerships. Tourism is not viewed as a seasonal activity but as a year-round economic driver that can support livelihoods, especially in rural and remote areas. A key objective is to ensure that tourism growth benefits local communities, creates employment for youth and women, and promotes balanced regional development across the state.</w:t>
      </w:r>
    </w:p>
    <w:p w14:paraId="2C6CE960" w14:textId="77777777" w:rsidR="00394828" w:rsidRPr="00394828" w:rsidRDefault="00394828" w:rsidP="00394828">
      <w:pPr>
        <w:jc w:val="both"/>
        <w:rPr>
          <w:rFonts w:ascii="Arial" w:hAnsi="Arial" w:cs="Arial"/>
        </w:rPr>
      </w:pPr>
      <w:r w:rsidRPr="00394828">
        <w:rPr>
          <w:rFonts w:ascii="Arial" w:hAnsi="Arial" w:cs="Arial"/>
        </w:rPr>
        <w:t xml:space="preserve">A strong emphasis is placed on </w:t>
      </w:r>
      <w:r w:rsidRPr="00394828">
        <w:rPr>
          <w:rFonts w:ascii="Arial" w:hAnsi="Arial" w:cs="Arial"/>
          <w:b/>
          <w:bCs/>
        </w:rPr>
        <w:t>responsible and sustainable tourism</w:t>
      </w:r>
      <w:r w:rsidRPr="00394828">
        <w:rPr>
          <w:rFonts w:ascii="Arial" w:hAnsi="Arial" w:cs="Arial"/>
        </w:rPr>
        <w:t>. The policy promotes quality tourism over mass tourism, ensuring safety, inclusiveness, and accessibility for all categories of visitors, including women, senior citizens, children, and persons with disabilities. Tourism development is expected to balance economic benefits with environmental conservation and cultural preservation.</w:t>
      </w:r>
    </w:p>
    <w:p w14:paraId="6941DCB1" w14:textId="77777777" w:rsidR="00394828" w:rsidRPr="00394828" w:rsidRDefault="00394828" w:rsidP="00394828">
      <w:pPr>
        <w:jc w:val="both"/>
        <w:rPr>
          <w:rFonts w:ascii="Arial" w:hAnsi="Arial" w:cs="Arial"/>
        </w:rPr>
      </w:pPr>
      <w:r w:rsidRPr="00394828">
        <w:rPr>
          <w:rFonts w:ascii="Arial" w:hAnsi="Arial" w:cs="Arial"/>
        </w:rPr>
        <w:t>To strengthen Uttarakhand’s image as a diverse tourism destination, the policy focuses on branding, marketing, and promotion beyond traditional pilgrimage tourism. It promotes multiple tourism segments such as religious and spiritual tourism, adventure tourism, eco and nature tourism, wellness and yoga tourism, rural and village tourism, heritage and cultural tourism, wildlife tourism, film tourism, and MICE tourism. This diversification helps reduce overcrowding at popular destinations and minimizes seasonal pressure.</w:t>
      </w:r>
    </w:p>
    <w:p w14:paraId="1EBC63D2" w14:textId="77777777" w:rsidR="00394828" w:rsidRPr="00394828" w:rsidRDefault="00394828" w:rsidP="00394828">
      <w:pPr>
        <w:jc w:val="both"/>
        <w:rPr>
          <w:rFonts w:ascii="Arial" w:hAnsi="Arial" w:cs="Arial"/>
        </w:rPr>
      </w:pPr>
      <w:r w:rsidRPr="00394828">
        <w:rPr>
          <w:rFonts w:ascii="Arial" w:hAnsi="Arial" w:cs="Arial"/>
        </w:rPr>
        <w:t xml:space="preserve">The policy adopts a </w:t>
      </w:r>
      <w:r w:rsidRPr="00394828">
        <w:rPr>
          <w:rFonts w:ascii="Arial" w:hAnsi="Arial" w:cs="Arial"/>
          <w:b/>
          <w:bCs/>
        </w:rPr>
        <w:t>Digital First approach</w:t>
      </w:r>
      <w:r w:rsidRPr="00394828">
        <w:rPr>
          <w:rFonts w:ascii="Arial" w:hAnsi="Arial" w:cs="Arial"/>
        </w:rPr>
        <w:t>, emphasizing the use of technology to enhance tourist convenience and governance. It proposes an integrated tourism platform supported by a website and mobile application to provide information, enable online bookings for accommodation and activities, manage tourist data, and offer digital grievance redressal. Data privacy and compliance with government norms are also highlighted.</w:t>
      </w:r>
    </w:p>
    <w:p w14:paraId="3C4E29E2" w14:textId="77777777" w:rsidR="00394828" w:rsidRPr="00394828" w:rsidRDefault="00394828" w:rsidP="00394828">
      <w:pPr>
        <w:jc w:val="both"/>
        <w:rPr>
          <w:rFonts w:ascii="Arial" w:hAnsi="Arial" w:cs="Arial"/>
        </w:rPr>
      </w:pPr>
      <w:r w:rsidRPr="00394828">
        <w:rPr>
          <w:rFonts w:ascii="Arial" w:hAnsi="Arial" w:cs="Arial"/>
        </w:rPr>
        <w:t>Tourism infrastructure is identified as the backbone of tourism development. The policy focuses on improving road connectivity, transport systems, ropeways, water supply, power availability, sanitation, waste management, and digital connectivity. It supports the development of new tourism destinations, upgrading existing sites, and decongesting overburdened locations through better planning and dispersal of tourist traffic. Coordination among various departments is considered essential for effective infrastructure development.</w:t>
      </w:r>
    </w:p>
    <w:p w14:paraId="1DA99E97" w14:textId="77777777" w:rsidR="00394828" w:rsidRPr="00394828" w:rsidRDefault="00394828" w:rsidP="00394828">
      <w:pPr>
        <w:jc w:val="both"/>
        <w:rPr>
          <w:rFonts w:ascii="Arial" w:hAnsi="Arial" w:cs="Arial"/>
        </w:rPr>
      </w:pPr>
      <w:r w:rsidRPr="00394828">
        <w:rPr>
          <w:rFonts w:ascii="Arial" w:hAnsi="Arial" w:cs="Arial"/>
        </w:rPr>
        <w:t>To attract investment, the policy provides mechanisms such as single-window clearances, investor facilitation, transparent approval processes, and promotion of public–private partnerships. The government’s role is primarily facilitative, while private players are encouraged to develop and operate tourism services and facilities.</w:t>
      </w:r>
    </w:p>
    <w:p w14:paraId="0F35D861" w14:textId="77777777" w:rsidR="00394828" w:rsidRPr="00394828" w:rsidRDefault="00394828" w:rsidP="00394828">
      <w:pPr>
        <w:jc w:val="both"/>
        <w:rPr>
          <w:rFonts w:ascii="Arial" w:hAnsi="Arial" w:cs="Arial"/>
        </w:rPr>
      </w:pPr>
      <w:r w:rsidRPr="00394828">
        <w:rPr>
          <w:rFonts w:ascii="Arial" w:hAnsi="Arial" w:cs="Arial"/>
        </w:rPr>
        <w:lastRenderedPageBreak/>
        <w:t>Tourist facilitation and safety are key priorities. The policy supports the establishment of tourist information centers, 24×7 helplines and control rooms, trained tourist police, CCTV surveillance, proper signage, lighting, and safety infrastructure. Universal access and inclusive facilities are promoted to ensure a comfortable experience for all visitors.</w:t>
      </w:r>
    </w:p>
    <w:p w14:paraId="1FBACCB2" w14:textId="77777777" w:rsidR="00394828" w:rsidRPr="00394828" w:rsidRDefault="00394828" w:rsidP="00394828">
      <w:pPr>
        <w:jc w:val="both"/>
        <w:rPr>
          <w:rFonts w:ascii="Arial" w:hAnsi="Arial" w:cs="Arial"/>
        </w:rPr>
      </w:pPr>
      <w:r w:rsidRPr="00394828">
        <w:rPr>
          <w:rFonts w:ascii="Arial" w:hAnsi="Arial" w:cs="Arial"/>
        </w:rPr>
        <w:t>Skill development and capacity building form an important part of the policy. It focuses on identifying skill gaps and providing training programs in hospitality, service quality, tourism operations, and technology, in collaboration with relevant institutions. The policy also supports MSMEs, local entrepreneurs, and tourism facilitators, and encourages recognition and awards for tourism workers.</w:t>
      </w:r>
    </w:p>
    <w:p w14:paraId="5C4B78C4" w14:textId="77777777" w:rsidR="00394828" w:rsidRPr="00394828" w:rsidRDefault="00394828" w:rsidP="00394828">
      <w:pPr>
        <w:jc w:val="both"/>
        <w:rPr>
          <w:rFonts w:ascii="Arial" w:hAnsi="Arial" w:cs="Arial"/>
        </w:rPr>
      </w:pPr>
      <w:r w:rsidRPr="00394828">
        <w:rPr>
          <w:rFonts w:ascii="Arial" w:hAnsi="Arial" w:cs="Arial"/>
        </w:rPr>
        <w:t>Community participation is central to the policy. Local communities are encouraged to actively participate in tourism through village tourism, homestays, local entrepreneurship, and promotion of local arts, crafts, cuisine, and traditions. Tourism is seen as a tool for inclusive development that strengthens local identity and improves livelihoods.</w:t>
      </w:r>
    </w:p>
    <w:p w14:paraId="5664E892" w14:textId="77777777" w:rsidR="00394828" w:rsidRPr="00394828" w:rsidRDefault="00394828" w:rsidP="00394828">
      <w:pPr>
        <w:jc w:val="both"/>
        <w:rPr>
          <w:rFonts w:ascii="Arial" w:hAnsi="Arial" w:cs="Arial"/>
        </w:rPr>
      </w:pPr>
      <w:r w:rsidRPr="00394828">
        <w:rPr>
          <w:rFonts w:ascii="Arial" w:hAnsi="Arial" w:cs="Arial"/>
        </w:rPr>
        <w:t>Sustainability is a core pillar of the policy. It promotes green certification, energy efficiency, water conservation, waste management, plastic reduction, biodiversity conservation, and protection of cultural heritage. Monitoring mechanisms and penalties are included to ensure compliance and prevent environmental degradation.</w:t>
      </w:r>
    </w:p>
    <w:p w14:paraId="783AFC0E" w14:textId="77777777" w:rsidR="00394828" w:rsidRPr="00394828" w:rsidRDefault="00394828" w:rsidP="00394828">
      <w:pPr>
        <w:jc w:val="both"/>
        <w:rPr>
          <w:rFonts w:ascii="Arial" w:hAnsi="Arial" w:cs="Arial"/>
        </w:rPr>
      </w:pPr>
      <w:r w:rsidRPr="00394828">
        <w:rPr>
          <w:rFonts w:ascii="Arial" w:hAnsi="Arial" w:cs="Arial"/>
        </w:rPr>
        <w:t>The policy also provides a comprehensive incentive framework for eligible tourism projects, including capital subsidies, interest subvention, marketing and promotion support, training incentives, waste treatment incentives, SGST-linked incentives, and exemptions related to electricity duty and stamp duty. These incentives are designed to encourage investment, innovation, and quality tourism development. Homestays are excluded from this policy and are governed under separate provisions.</w:t>
      </w:r>
    </w:p>
    <w:p w14:paraId="09E4AF2F" w14:textId="77777777" w:rsidR="00394828" w:rsidRPr="00394828" w:rsidRDefault="00394828" w:rsidP="00394828">
      <w:pPr>
        <w:jc w:val="both"/>
        <w:rPr>
          <w:rFonts w:ascii="Arial" w:hAnsi="Arial" w:cs="Arial"/>
        </w:rPr>
      </w:pPr>
      <w:r w:rsidRPr="00394828">
        <w:rPr>
          <w:rFonts w:ascii="Arial" w:hAnsi="Arial" w:cs="Arial"/>
        </w:rPr>
        <w:t>Implementation of the policy is entrusted to the Department of Tourism and the Uttarakhand Tourism Development Board. The policy outlines mechanisms for approvals, monitoring, grievance redressal, and periodic review. The government retains the flexibility to amend or revise provisions as required. Detailed technical norms, eligibility criteria, incentive structures, land-use regulations, and operational guidelines are provided in the annexure to support smooth and standardized implementation.</w:t>
      </w:r>
    </w:p>
    <w:p w14:paraId="2521488F" w14:textId="77777777" w:rsidR="00394828" w:rsidRPr="00394828" w:rsidRDefault="00394828" w:rsidP="00394828">
      <w:pPr>
        <w:jc w:val="both"/>
        <w:rPr>
          <w:rFonts w:ascii="Arial" w:hAnsi="Arial" w:cs="Arial"/>
        </w:rPr>
      </w:pPr>
      <w:r w:rsidRPr="00394828">
        <w:rPr>
          <w:rFonts w:ascii="Arial" w:hAnsi="Arial" w:cs="Arial"/>
        </w:rPr>
        <w:t xml:space="preserve">Overall, the Uttarakhand Tourism Policy 2023 aims to position the state as a </w:t>
      </w:r>
      <w:r w:rsidRPr="00394828">
        <w:rPr>
          <w:rFonts w:ascii="Arial" w:hAnsi="Arial" w:cs="Arial"/>
          <w:b/>
          <w:bCs/>
        </w:rPr>
        <w:t>leading, sustainable, technology-enabled, and community-focused tourism destination</w:t>
      </w:r>
      <w:r w:rsidRPr="00394828">
        <w:rPr>
          <w:rFonts w:ascii="Arial" w:hAnsi="Arial" w:cs="Arial"/>
        </w:rPr>
        <w:t>, ensuring long-term economic growth while safeguarding its natural and cultural heritage.</w:t>
      </w:r>
    </w:p>
    <w:p w14:paraId="01D66F38" w14:textId="77777777" w:rsidR="00394828" w:rsidRPr="00394828" w:rsidRDefault="00394828" w:rsidP="00394828">
      <w:pPr>
        <w:jc w:val="both"/>
        <w:rPr>
          <w:rFonts w:ascii="Arial" w:hAnsi="Arial" w:cs="Arial"/>
        </w:rPr>
      </w:pPr>
    </w:p>
    <w:sectPr w:rsidR="00394828" w:rsidRPr="00394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28"/>
    <w:rsid w:val="00394828"/>
    <w:rsid w:val="004133EB"/>
    <w:rsid w:val="006A0701"/>
    <w:rsid w:val="009313DC"/>
    <w:rsid w:val="009E5A86"/>
    <w:rsid w:val="00A5140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540AD"/>
  <w15:chartTrackingRefBased/>
  <w15:docId w15:val="{225BC99F-D6A0-412D-88DF-086808EDB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8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8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8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8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8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8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8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8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8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8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828"/>
    <w:rPr>
      <w:rFonts w:eastAsiaTheme="majorEastAsia" w:cstheme="majorBidi"/>
      <w:color w:val="272727" w:themeColor="text1" w:themeTint="D8"/>
    </w:rPr>
  </w:style>
  <w:style w:type="paragraph" w:styleId="Title">
    <w:name w:val="Title"/>
    <w:basedOn w:val="Normal"/>
    <w:next w:val="Normal"/>
    <w:link w:val="TitleChar"/>
    <w:uiPriority w:val="10"/>
    <w:qFormat/>
    <w:rsid w:val="00394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828"/>
    <w:pPr>
      <w:spacing w:before="160"/>
      <w:jc w:val="center"/>
    </w:pPr>
    <w:rPr>
      <w:i/>
      <w:iCs/>
      <w:color w:val="404040" w:themeColor="text1" w:themeTint="BF"/>
    </w:rPr>
  </w:style>
  <w:style w:type="character" w:customStyle="1" w:styleId="QuoteChar">
    <w:name w:val="Quote Char"/>
    <w:basedOn w:val="DefaultParagraphFont"/>
    <w:link w:val="Quote"/>
    <w:uiPriority w:val="29"/>
    <w:rsid w:val="00394828"/>
    <w:rPr>
      <w:i/>
      <w:iCs/>
      <w:color w:val="404040" w:themeColor="text1" w:themeTint="BF"/>
    </w:rPr>
  </w:style>
  <w:style w:type="paragraph" w:styleId="ListParagraph">
    <w:name w:val="List Paragraph"/>
    <w:basedOn w:val="Normal"/>
    <w:uiPriority w:val="34"/>
    <w:qFormat/>
    <w:rsid w:val="00394828"/>
    <w:pPr>
      <w:ind w:left="720"/>
      <w:contextualSpacing/>
    </w:pPr>
  </w:style>
  <w:style w:type="character" w:styleId="IntenseEmphasis">
    <w:name w:val="Intense Emphasis"/>
    <w:basedOn w:val="DefaultParagraphFont"/>
    <w:uiPriority w:val="21"/>
    <w:qFormat/>
    <w:rsid w:val="00394828"/>
    <w:rPr>
      <w:i/>
      <w:iCs/>
      <w:color w:val="2F5496" w:themeColor="accent1" w:themeShade="BF"/>
    </w:rPr>
  </w:style>
  <w:style w:type="paragraph" w:styleId="IntenseQuote">
    <w:name w:val="Intense Quote"/>
    <w:basedOn w:val="Normal"/>
    <w:next w:val="Normal"/>
    <w:link w:val="IntenseQuoteChar"/>
    <w:uiPriority w:val="30"/>
    <w:qFormat/>
    <w:rsid w:val="00394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828"/>
    <w:rPr>
      <w:i/>
      <w:iCs/>
      <w:color w:val="2F5496" w:themeColor="accent1" w:themeShade="BF"/>
    </w:rPr>
  </w:style>
  <w:style w:type="character" w:styleId="IntenseReference">
    <w:name w:val="Intense Reference"/>
    <w:basedOn w:val="DefaultParagraphFont"/>
    <w:uiPriority w:val="32"/>
    <w:qFormat/>
    <w:rsid w:val="003948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UKCDP office</dc:creator>
  <cp:keywords/>
  <dc:description/>
  <cp:lastModifiedBy>UKCDP office</cp:lastModifiedBy>
  <cp:revision>1</cp:revision>
  <dcterms:created xsi:type="dcterms:W3CDTF">2026-02-02T09:34:00Z</dcterms:created>
  <dcterms:modified xsi:type="dcterms:W3CDTF">2026-02-02T09:45:00Z</dcterms:modified>
</cp:coreProperties>
</file>