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nmyzrkvaj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Brand Story: For the Ones Who Catch the Spark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There’s a kind of person who thinks in sparks.</w:t>
        <w:br w:type="textWrapping"/>
        <w:t xml:space="preserve"> Not always in full sentences.</w:t>
        <w:br w:type="textWrapping"/>
        <w:t xml:space="preserve"> Not always in polished slides.</w:t>
        <w:br w:type="textWrapping"/>
        <w:t xml:space="preserve"> Just… flashes.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phrase.</w:t>
        <w:br w:type="textWrapping"/>
        <w:t xml:space="preserve"> A diagram.</w:t>
        <w:br w:type="textWrapping"/>
        <w:t xml:space="preserve"> A hook.</w:t>
        <w:br w:type="textWrapping"/>
        <w:t xml:space="preserve"> A what-if.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when that moment hits, they need somewhere for it to land.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built these notebooks for </w:t>
      </w:r>
      <w:r w:rsidDel="00000000" w:rsidR="00000000" w:rsidRPr="00000000">
        <w:rPr>
          <w:i w:val="1"/>
          <w:iCs w:val="1"/>
          <w:rtl w:val="0"/>
        </w:rPr>
        <w:t xml:space="preserve">them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not journals.</w:t>
        <w:br w:type="textWrapping"/>
        <w:t xml:space="preserve"> Not daily planners.</w:t>
        <w:br w:type="textWrapping"/>
        <w:t xml:space="preserve"> Not pastel affirmations wrapped in fake leather.</w:t>
        <w:br w:type="textWrapping"/>
        <w:t xml:space="preserve"> They’re </w:t>
      </w: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A6-sized, grid-lined, staple-bound, 52 pages short — because most good ideas don’t need 200.</w:t>
        <w:br w:type="textWrapping"/>
        <w:t xml:space="preserve"> They fit your bag, your back pocket, your habit of pulling them out mid-conversation.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made for people who think fast —</w:t>
        <w:br w:type="textWrapping"/>
        <w:t xml:space="preserve"> Writers, founders, designers, illustrators, songwriters, product folks, daydreamers, night-scribblers.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And above all, for people who know one truth: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Ideas don’t wait. Neither should you.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stationery.</w:t>
        <w:br w:type="textWrapping"/>
        <w:t xml:space="preserve"> This is your idea’s first address.</w:t>
        <w:br w:type="textWrapping"/>
        <w:t xml:space="preserve"> The place where you park brilliance before the world is ready to see it.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like it matters.</w:t>
        <w:br w:type="textWrapping"/>
        <w:t xml:space="preserve"> Scribble like no one’s watching.</w:t>
        <w:br w:type="textWrapping"/>
        <w:t xml:space="preserve"> And carry a tool that respects the raw, unfinished parts of your thinking —</w:t>
        <w:br w:type="textWrapping"/>
        <w:t xml:space="preserve"> Because that’s where the real magic starts.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