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A2E"/>
          <w:sz w:val="52"/>
        </w:rPr>
        <w:t>Alt-Provision Placement Pack</w:t>
      </w:r>
    </w:p>
    <w:p>
      <w:r>
        <w:rPr>
          <w:b/>
          <w:color w:val="2563EB"/>
          <w:sz w:val="24"/>
        </w:rPr>
        <w:t>A shared record for school exclusion and alternative placement.</w:t>
      </w:r>
    </w:p>
    <w:p>
      <w:r>
        <w:rPr>
          <w:color w:val="6B7280"/>
          <w:sz w:val="20"/>
        </w:rPr>
        <w:t>Prepared for Riverside County Council, Inclusion Support (illustrative demo data).</w:t>
      </w:r>
    </w:p>
    <w:p>
      <w:pPr>
        <w:pStyle w:val="Heading1"/>
      </w:pPr>
      <w:r>
        <w:rPr>
          <w:color w:val="1A1A2E"/>
          <w:sz w:val="30"/>
        </w:rPr>
        <w:t>1. The problem</w:t>
      </w:r>
    </w:p>
    <w:p>
      <w:r>
        <w:t>Managing a permanent exclusion or an EHCP placement is one of the highest-cost duties an inclusion team carries, and most authorities still run it on email threads and loose spreadsheets. There is no shared record, no visible statutory clock, and no live picture of where there is capacity.</w:t>
      </w:r>
    </w:p>
    <w:p>
      <w:r>
        <w:t>The single point to take from this pack: the biggest hidden cost of a placement is transport, and it is locked in the moment you choose where a child goes.</w:t>
      </w:r>
    </w:p>
    <w:p>
      <w:pPr>
        <w:pStyle w:val="Heading1"/>
      </w:pPr>
      <w:r>
        <w:rPr>
          <w:color w:val="1A1A2E"/>
          <w:sz w:val="30"/>
        </w:rPr>
        <w:t>2. Costs and savings</w:t>
      </w:r>
    </w:p>
    <w:p>
      <w:r>
        <w:t>The licence is priced per placement case per year. The model below is set at the bottom of each published range by design, so it survives scrutiny rather than flattering the product.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sz w:val="18"/>
              </w:rPr>
              <w:t>Line</w:t>
            </w:r>
          </w:p>
        </w:tc>
        <w:tc>
          <w:tcPr>
            <w:tcW w:type="dxa" w:w="2880"/>
            <w:shd w:val="clear" w:color="auto" w:fill="1A1A2E"/>
          </w:tcPr>
          <w:p>
            <w:r>
              <w:rPr>
                <w:b/>
                <w:color w:val="FFFFFF"/>
                <w:sz w:val="18"/>
              </w:rPr>
              <w:t>Basis</w:t>
            </w:r>
          </w:p>
        </w:tc>
        <w:tc>
          <w:tcPr>
            <w:tcW w:type="dxa" w:w="2880"/>
            <w:shd w:val="clear" w:color="auto" w:fill="1A1A2E"/>
          </w:tcPr>
          <w:p>
            <w:r>
              <w:rPr>
                <w:b/>
                <w:color w:val="FFFFFF"/>
                <w:sz w:val="18"/>
              </w:rPr>
              <w:t>Annual value</w:t>
            </w:r>
          </w:p>
        </w:tc>
      </w:tr>
      <w:tr>
        <w:tc>
          <w:tcPr>
            <w:tcW w:type="dxa" w:w="2880"/>
          </w:tcPr>
          <w:p>
            <w:r>
              <w:rPr>
                <w:sz w:val="18"/>
              </w:rPr>
              <w:t>Coordination time saved</w:t>
            </w:r>
          </w:p>
        </w:tc>
        <w:tc>
          <w:tcPr>
            <w:tcW w:type="dxa" w:w="2880"/>
          </w:tcPr>
          <w:p>
            <w:r>
              <w:rPr>
                <w:sz w:val="18"/>
              </w:rPr>
              <w:t>Half of manual admin removed</w:t>
            </w:r>
          </w:p>
        </w:tc>
        <w:tc>
          <w:tcPr>
            <w:tcW w:type="dxa" w:w="2880"/>
          </w:tcPr>
          <w:p>
            <w:r>
              <w:rPr>
                <w:sz w:val="18"/>
              </w:rPr>
              <w:t>£42,000</w:t>
            </w:r>
          </w:p>
        </w:tc>
      </w:tr>
      <w:tr>
        <w:tc>
          <w:tcPr>
            <w:tcW w:type="dxa" w:w="2880"/>
            <w:shd w:val="clear" w:color="auto" w:fill="F8F9FA"/>
          </w:tcPr>
          <w:p>
            <w:r>
              <w:rPr>
                <w:sz w:val="18"/>
              </w:rPr>
              <w:t>Disputes avoided</w:t>
            </w:r>
          </w:p>
        </w:tc>
        <w:tc>
          <w:tcPr>
            <w:tcW w:type="dxa" w:w="2880"/>
            <w:shd w:val="clear" w:color="auto" w:fill="F8F9FA"/>
          </w:tcPr>
          <w:p>
            <w:r>
              <w:rPr>
                <w:sz w:val="18"/>
              </w:rPr>
              <w:t>1 case in 20 kept out of formal complaint</w:t>
            </w:r>
          </w:p>
        </w:tc>
        <w:tc>
          <w:tcPr>
            <w:tcW w:type="dxa" w:w="2880"/>
            <w:shd w:val="clear" w:color="auto" w:fill="F8F9FA"/>
          </w:tcPr>
          <w:p>
            <w:r>
              <w:rPr>
                <w:sz w:val="18"/>
              </w:rPr>
              <w:t>£28,000</w:t>
            </w:r>
          </w:p>
        </w:tc>
      </w:tr>
      <w:tr>
        <w:tc>
          <w:tcPr>
            <w:tcW w:type="dxa" w:w="2880"/>
          </w:tcPr>
          <w:p>
            <w:r>
              <w:rPr>
                <w:sz w:val="18"/>
              </w:rPr>
              <w:t>Placements nearer home</w:t>
            </w:r>
          </w:p>
        </w:tc>
        <w:tc>
          <w:tcPr>
            <w:tcW w:type="dxa" w:w="2880"/>
          </w:tcPr>
          <w:p>
            <w:r>
              <w:rPr>
                <w:sz w:val="18"/>
              </w:rPr>
              <w:t>1 in 20 on transport-cost visibility</w:t>
            </w:r>
          </w:p>
        </w:tc>
        <w:tc>
          <w:tcPr>
            <w:tcW w:type="dxa" w:w="2880"/>
          </w:tcPr>
          <w:p>
            <w:r>
              <w:rPr>
                <w:sz w:val="18"/>
              </w:rPr>
              <w:t>£54,000</w:t>
            </w:r>
          </w:p>
        </w:tc>
      </w:tr>
      <w:tr>
        <w:tc>
          <w:tcPr>
            <w:tcW w:type="dxa" w:w="2880"/>
            <w:shd w:val="clear" w:color="auto" w:fill="F8F9FA"/>
          </w:tcPr>
          <w:p>
            <w:r>
              <w:rPr>
                <w:sz w:val="18"/>
              </w:rPr>
              <w:t>Licence cost</w:t>
            </w:r>
          </w:p>
        </w:tc>
        <w:tc>
          <w:tcPr>
            <w:tcW w:type="dxa" w:w="2880"/>
            <w:shd w:val="clear" w:color="auto" w:fill="F8F9FA"/>
          </w:tcPr>
          <w:p>
            <w:r>
              <w:rPr>
                <w:sz w:val="18"/>
              </w:rPr>
              <w:t>Per-case, illustrative caseload</w:t>
            </w:r>
          </w:p>
        </w:tc>
        <w:tc>
          <w:tcPr>
            <w:tcW w:type="dxa" w:w="2880"/>
            <w:shd w:val="clear" w:color="auto" w:fill="F8F9FA"/>
          </w:tcPr>
          <w:p>
            <w:r>
              <w:rPr>
                <w:sz w:val="18"/>
              </w:rPr>
              <w:t>-£30,000</w:t>
            </w:r>
          </w:p>
        </w:tc>
      </w:tr>
      <w:tr>
        <w:tc>
          <w:tcPr>
            <w:tcW w:type="dxa" w:w="2880"/>
          </w:tcPr>
          <w:p>
            <w:r>
              <w:rPr>
                <w:sz w:val="18"/>
              </w:rPr>
              <w:t>Net saving</w:t>
            </w:r>
          </w:p>
        </w:tc>
        <w:tc>
          <w:tcPr>
            <w:tcW w:type="dxa" w:w="2880"/>
          </w:tcPr>
          <w:p>
            <w:r>
              <w:rPr>
                <w:sz w:val="18"/>
              </w:rPr>
            </w:r>
          </w:p>
        </w:tc>
        <w:tc>
          <w:tcPr>
            <w:tcW w:type="dxa" w:w="2880"/>
          </w:tcPr>
          <w:p>
            <w:r>
              <w:rPr>
                <w:sz w:val="18"/>
              </w:rPr>
              <w:t>£94,000</w:t>
            </w:r>
          </w:p>
        </w:tc>
      </w:tr>
    </w:tbl>
    <w:p>
      <w:pPr>
        <w:pStyle w:val="Heading1"/>
      </w:pPr>
      <w:r>
        <w:rPr>
          <w:color w:val="1A1A2E"/>
          <w:sz w:val="30"/>
        </w:rPr>
        <w:t>3. Why editable matters</w:t>
      </w:r>
    </w:p>
    <w:p>
      <w:r>
        <w:t>This document was produced by an agent as a .docx, not a PDF. An officer can change the caseload, correct a figure, or drop a paragraph and forward it, without coming back to us. That is the difference between a document and a photograph of a document.</w:t>
      </w:r>
    </w:p>
    <w:p>
      <w:r>
        <w:rPr>
          <w:i/>
          <w:color w:val="6B7280"/>
          <w:sz w:val="16"/>
        </w:rPr>
        <w:t>Generated by an agent as an editable Word file. Every number below is a live cell you can change before you send it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