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1B3A5F"/>
          <w:sz w:val="28"/>
        </w:rPr>
        <w:t>Project Proposal</w:t>
      </w:r>
    </w:p>
    <w:p>
      <w:pPr>
        <w:spacing w:after="280"/>
        <w:jc w:val="center"/>
      </w:pPr>
      <w:r>
        <w:rPr>
          <w:rFonts w:ascii="Times New Roman" w:hAnsi="Times New Roman"/>
          <w:b w:val="0"/>
          <w:i w:val="0"/>
          <w:color w:val="000000"/>
          <w:sz w:val="22"/>
        </w:rPr>
        <w:t>SASTRA–TCS Technology Innovation Centre (TIC) — Call for Proposal</w:t>
      </w:r>
    </w:p>
    <w:p>
      <w:pPr>
        <w:spacing w:after="280"/>
        <w:jc w:val="center"/>
      </w:pPr>
      <w:r>
        <w:rPr>
          <w:rFonts w:ascii="Times New Roman" w:hAnsi="Times New Roman"/>
          <w:b/>
          <w:i w:val="0"/>
          <w:color w:val="1B3A5F"/>
          <w:sz w:val="32"/>
        </w:rPr>
        <w:t>RIA-PoC: A Reconfigurable Tile-Based Edge-AI Accelerator on FPGA</w:t>
      </w:r>
    </w:p>
    <w:tbl>
      <w:tblPr>
        <w:tblStyle w:val="TableGrid"/>
        <w:tblW w:type="auto" w:w="0"/>
        <w:jc w:val="center"/>
        <w:tblLook w:firstColumn="1" w:firstRow="1" w:lastColumn="0" w:lastRow="0" w:noHBand="0" w:noVBand="1" w:val="04A0"/>
      </w:tblPr>
      <w:tblGrid>
        <w:gridCol w:w="4703"/>
        <w:gridCol w:w="4703"/>
      </w:tblGrid>
      <w:tr>
        <w:tc>
          <w:tcPr>
            <w:tcW w:type="dxa" w:w="2551"/>
          </w:tcPr>
          <w:p>
            <w:pPr>
              <w:spacing w:after="40"/>
            </w:pPr>
            <w:r/>
            <w:r>
              <w:rPr>
                <w:rFonts w:ascii="Times New Roman" w:hAnsi="Times New Roman"/>
                <w:sz w:val="22"/>
              </w:rPr>
              <w:t>Domain</w:t>
            </w:r>
          </w:p>
        </w:tc>
        <w:tc>
          <w:tcPr>
            <w:tcW w:type="dxa" w:w="6520"/>
          </w:tcPr>
          <w:p>
            <w:pPr>
              <w:spacing w:after="40"/>
            </w:pPr>
            <w:r/>
            <w:r>
              <w:rPr>
                <w:rFonts w:ascii="Times New Roman" w:hAnsi="Times New Roman"/>
                <w:sz w:val="22"/>
              </w:rPr>
              <w:t>Artificial Intelligence (edge-AI hardware)</w:t>
            </w:r>
          </w:p>
        </w:tc>
      </w:tr>
      <w:tr>
        <w:tc>
          <w:tcPr>
            <w:tcW w:type="dxa" w:w="2551"/>
          </w:tcPr>
          <w:p>
            <w:pPr>
              <w:spacing w:after="40"/>
            </w:pPr>
            <w:r/>
            <w:r>
              <w:rPr>
                <w:rFonts w:ascii="Times New Roman" w:hAnsi="Times New Roman"/>
                <w:sz w:val="22"/>
              </w:rPr>
              <w:t>Duration</w:t>
            </w:r>
          </w:p>
        </w:tc>
        <w:tc>
          <w:tcPr>
            <w:tcW w:type="dxa" w:w="6520"/>
          </w:tcPr>
          <w:p>
            <w:pPr>
              <w:spacing w:after="40"/>
            </w:pPr>
            <w:r/>
            <w:r>
              <w:rPr>
                <w:rFonts w:ascii="Times New Roman" w:hAnsi="Times New Roman"/>
                <w:sz w:val="22"/>
              </w:rPr>
              <w:t>18 months</w:t>
            </w:r>
          </w:p>
        </w:tc>
      </w:tr>
      <w:tr>
        <w:tc>
          <w:tcPr>
            <w:tcW w:type="dxa" w:w="2551"/>
          </w:tcPr>
          <w:p>
            <w:pPr>
              <w:spacing w:after="40"/>
            </w:pPr>
            <w:r/>
            <w:r>
              <w:rPr>
                <w:rFonts w:ascii="Times New Roman" w:hAnsi="Times New Roman"/>
                <w:sz w:val="22"/>
              </w:rPr>
              <w:t>Funding requested</w:t>
            </w:r>
          </w:p>
        </w:tc>
        <w:tc>
          <w:tcPr>
            <w:tcW w:type="dxa" w:w="6520"/>
          </w:tcPr>
          <w:p>
            <w:pPr>
              <w:spacing w:after="40"/>
            </w:pPr>
            <w:r/>
            <w:r>
              <w:rPr>
                <w:rFonts w:ascii="Times New Roman" w:hAnsi="Times New Roman"/>
                <w:sz w:val="22"/>
              </w:rPr>
              <w:t>Rs. 50.00 Lakh (capital + revenue)</w:t>
            </w:r>
          </w:p>
        </w:tc>
      </w:tr>
      <w:tr>
        <w:tc>
          <w:tcPr>
            <w:tcW w:type="dxa" w:w="2551"/>
          </w:tcPr>
          <w:p>
            <w:pPr>
              <w:spacing w:after="40"/>
            </w:pPr>
            <w:r/>
            <w:r>
              <w:rPr>
                <w:rFonts w:ascii="Times New Roman" w:hAnsi="Times New Roman"/>
                <w:sz w:val="22"/>
              </w:rPr>
              <w:t>Current TRL</w:t>
            </w:r>
          </w:p>
        </w:tc>
        <w:tc>
          <w:tcPr>
            <w:tcW w:type="dxa" w:w="6520"/>
          </w:tcPr>
          <w:p>
            <w:pPr>
              <w:spacing w:after="40"/>
            </w:pPr>
            <w:r/>
            <w:r>
              <w:rPr>
                <w:rFonts w:ascii="Times New Roman" w:hAnsi="Times New Roman"/>
                <w:sz w:val="22"/>
              </w:rPr>
              <w:t>TRL 2–3 (concept formulated; architecture defined on paper)</w:t>
            </w:r>
          </w:p>
        </w:tc>
      </w:tr>
      <w:tr>
        <w:tc>
          <w:tcPr>
            <w:tcW w:type="dxa" w:w="2551"/>
          </w:tcPr>
          <w:p>
            <w:pPr>
              <w:spacing w:after="40"/>
            </w:pPr>
            <w:r/>
            <w:r>
              <w:rPr>
                <w:rFonts w:ascii="Times New Roman" w:hAnsi="Times New Roman"/>
                <w:sz w:val="22"/>
              </w:rPr>
              <w:t>Target TRL</w:t>
            </w:r>
          </w:p>
        </w:tc>
        <w:tc>
          <w:tcPr>
            <w:tcW w:type="dxa" w:w="6520"/>
          </w:tcPr>
          <w:p>
            <w:pPr>
              <w:spacing w:after="40"/>
            </w:pPr>
            <w:r/>
            <w:r>
              <w:rPr>
                <w:rFonts w:ascii="Times New Roman" w:hAnsi="Times New Roman"/>
                <w:sz w:val="22"/>
              </w:rPr>
              <w:t>TRL 4–5 (technology validated in laboratory on representative workloads)</w:t>
            </w:r>
          </w:p>
        </w:tc>
      </w:tr>
      <w:tr>
        <w:tc>
          <w:tcPr>
            <w:tcW w:type="dxa" w:w="2551"/>
          </w:tcPr>
          <w:p>
            <w:pPr>
              <w:spacing w:after="40"/>
            </w:pPr>
            <w:r/>
            <w:r>
              <w:rPr>
                <w:rFonts w:ascii="Times New Roman" w:hAnsi="Times New Roman"/>
                <w:sz w:val="22"/>
              </w:rPr>
              <w:t>Institution</w:t>
            </w:r>
          </w:p>
        </w:tc>
        <w:tc>
          <w:tcPr>
            <w:tcW w:type="dxa" w:w="6520"/>
          </w:tcPr>
          <w:p>
            <w:pPr>
              <w:spacing w:after="40"/>
            </w:pPr>
            <w:r/>
            <w:r>
              <w:rPr>
                <w:rFonts w:ascii="Times New Roman" w:hAnsi="Times New Roman"/>
                <w:sz w:val="22"/>
              </w:rPr>
              <w:t>&lt;Name of the Institution&gt;</w:t>
            </w:r>
          </w:p>
        </w:tc>
      </w:tr>
      <w:tr>
        <w:tc>
          <w:tcPr>
            <w:tcW w:type="dxa" w:w="2551"/>
          </w:tcPr>
          <w:p>
            <w:pPr>
              <w:spacing w:after="40"/>
            </w:pPr>
            <w:r/>
            <w:r>
              <w:rPr>
                <w:rFonts w:ascii="Times New Roman" w:hAnsi="Times New Roman"/>
                <w:sz w:val="22"/>
              </w:rPr>
              <w:t>Principal Investigator</w:t>
            </w:r>
          </w:p>
        </w:tc>
        <w:tc>
          <w:tcPr>
            <w:tcW w:type="dxa" w:w="6520"/>
          </w:tcPr>
          <w:p>
            <w:pPr>
              <w:spacing w:after="40"/>
            </w:pPr>
            <w:r/>
            <w:r>
              <w:rPr>
                <w:rFonts w:ascii="Times New Roman" w:hAnsi="Times New Roman"/>
                <w:sz w:val="22"/>
              </w:rPr>
              <w:t>&lt;PI name, designation, department&gt;</w:t>
            </w:r>
          </w:p>
        </w:tc>
      </w:tr>
      <w:tr>
        <w:tc>
          <w:tcPr>
            <w:tcW w:type="dxa" w:w="2551"/>
          </w:tcPr>
          <w:p>
            <w:pPr>
              <w:spacing w:after="40"/>
            </w:pPr>
            <w:r/>
            <w:r>
              <w:rPr>
                <w:rFonts w:ascii="Times New Roman" w:hAnsi="Times New Roman"/>
                <w:sz w:val="22"/>
              </w:rPr>
              <w:t>Team</w:t>
            </w:r>
          </w:p>
        </w:tc>
        <w:tc>
          <w:tcPr>
            <w:tcW w:type="dxa" w:w="6520"/>
          </w:tcPr>
          <w:p>
            <w:pPr>
              <w:spacing w:after="40"/>
            </w:pPr>
            <w:r/>
            <w:r>
              <w:rPr>
                <w:rFonts w:ascii="Times New Roman" w:hAnsi="Times New Roman"/>
                <w:sz w:val="22"/>
              </w:rPr>
              <w:t>1 PI, 1 Co-PI (VLSI / embedded systems), 2 project associates, 4 UG/PG students</w:t>
            </w:r>
          </w:p>
        </w:tc>
      </w:tr>
    </w:tbl>
    <w:p>
      <w:pPr>
        <w:spacing w:after="40"/>
      </w:pPr>
    </w:p>
    <w:p>
      <w:pPr>
        <w:spacing w:before="280" w:after="120"/>
      </w:pPr>
      <w:r>
        <w:rPr>
          <w:rFonts w:ascii="Times New Roman" w:hAnsi="Times New Roman"/>
          <w:b/>
          <w:color w:val="1B3A5F"/>
          <w:sz w:val="26"/>
        </w:rPr>
        <w:t>1. Executive Summary</w:t>
      </w:r>
    </w:p>
    <w:p>
      <w:pPr>
        <w:spacing w:after="120"/>
      </w:pPr>
      <w:r>
        <w:rPr>
          <w:rFonts w:ascii="Times New Roman" w:hAnsi="Times New Roman"/>
          <w:b w:val="0"/>
          <w:i w:val="0"/>
          <w:color w:val="000000"/>
          <w:sz w:val="24"/>
        </w:rPr>
        <w:t>Edge devices increasingly need to run machine-learning models locally, but the hardware options available to Indian product companies are unsatisfactory: fixed-function AI accelerators become obsolete when model architectures change, general-purpose processors are too power-hungry, and raw FPGAs demand hardware expertise that most product teams do not have.</w:t>
      </w:r>
    </w:p>
    <w:p>
      <w:pPr>
        <w:spacing w:after="120"/>
      </w:pPr>
      <w:r>
        <w:rPr>
          <w:rFonts w:ascii="Times New Roman" w:hAnsi="Times New Roman"/>
          <w:b w:val="0"/>
          <w:i w:val="0"/>
          <w:color w:val="000000"/>
          <w:sz w:val="24"/>
        </w:rPr>
        <w:t>This project will build and measure a proof-of-concept of the Reconfigurable Intelligence Architecture (RIA): a small array of four identical programmable compute tiles on an FPGA, where each tile can act as a matrix-multiply engine, a convolution engine, or a vector/activation engine depending on the instructions loaded into it. The same hardware, without re-synthesis, will be demonstrated on two representative edge workloads: a compact vision CNN and a 1-D ECG classification model. Success is defined by measured numbers — tile utilisation, energy per inference against the on-board embedded CPU, and model-swap time — not by claims.</w:t>
      </w:r>
    </w:p>
    <w:p>
      <w:pPr>
        <w:spacing w:before="280" w:after="120"/>
      </w:pPr>
      <w:r>
        <w:rPr>
          <w:rFonts w:ascii="Times New Roman" w:hAnsi="Times New Roman"/>
          <w:b/>
          <w:color w:val="1B3A5F"/>
          <w:sz w:val="26"/>
        </w:rPr>
        <w:t>2. Problem Statement and Motivation</w:t>
      </w:r>
    </w:p>
    <w:p>
      <w:pPr>
        <w:pStyle w:val="ListBullet"/>
        <w:spacing w:after="80"/>
      </w:pPr>
      <w:r>
        <w:rPr>
          <w:rFonts w:ascii="Times New Roman" w:hAnsi="Times New Roman"/>
          <w:b/>
          <w:sz w:val="24"/>
        </w:rPr>
        <w:t>Fixed accelerators age badly.</w:t>
      </w:r>
      <w:r>
        <w:rPr>
          <w:rFonts w:ascii="Times New Roman" w:hAnsi="Times New Roman"/>
          <w:sz w:val="24"/>
        </w:rPr>
        <w:t xml:space="preserve"> NPUs hard-wired for one family of models (e.g., CNNs) waste silicon or fail outright when the deployed model changes; edge products live 5–10 years while model architectures turn over in 1–2.</w:t>
      </w:r>
    </w:p>
    <w:p>
      <w:pPr>
        <w:pStyle w:val="ListBullet"/>
        <w:spacing w:after="80"/>
      </w:pPr>
      <w:r>
        <w:rPr>
          <w:rFonts w:ascii="Times New Roman" w:hAnsi="Times New Roman"/>
          <w:b/>
          <w:sz w:val="24"/>
        </w:rPr>
        <w:t>The edge power budget rules out GPUs.</w:t>
      </w:r>
      <w:r>
        <w:rPr>
          <w:rFonts w:ascii="Times New Roman" w:hAnsi="Times New Roman"/>
          <w:sz w:val="24"/>
        </w:rPr>
        <w:t xml:space="preserve"> Battery-powered and fanless devices operate in the milliwatt-to-watt range.</w:t>
      </w:r>
    </w:p>
    <w:p>
      <w:pPr>
        <w:pStyle w:val="ListBullet"/>
        <w:spacing w:after="80"/>
      </w:pPr>
      <w:r>
        <w:rPr>
          <w:rFonts w:ascii="Times New Roman" w:hAnsi="Times New Roman"/>
          <w:b/>
          <w:sz w:val="24"/>
        </w:rPr>
        <w:t>FPGAs are flexible but inaccessible.</w:t>
      </w:r>
      <w:r>
        <w:rPr>
          <w:rFonts w:ascii="Times New Roman" w:hAnsi="Times New Roman"/>
          <w:sz w:val="24"/>
        </w:rPr>
        <w:t xml:space="preserve"> Every model change requires hours of synthesis and place-and-route plus digital design expertise — impractical for AI/product teams.</w:t>
      </w:r>
    </w:p>
    <w:p>
      <w:pPr>
        <w:spacing w:after="120"/>
      </w:pPr>
      <w:r>
        <w:rPr>
          <w:rFonts w:ascii="Times New Roman" w:hAnsi="Times New Roman"/>
          <w:b w:val="0"/>
          <w:i w:val="0"/>
          <w:color w:val="000000"/>
          <w:sz w:val="24"/>
        </w:rPr>
        <w:t>The gap this project addresses: an accelerator whose function can be changed in software, in seconds, while remaining far more energy-efficient than an embedded CPU. The insight that makes this tractable is that the bulk of the computation in practically every ML model is multiply-accumulate work plus a thin layer of vector operations (activations, normalisation, pooling); what differs between models is the order and proportion in which these primitives are used — and that can be expressed as instructions rather than as circuit structure.</w:t>
      </w:r>
    </w:p>
    <w:p>
      <w:pPr>
        <w:spacing w:before="280" w:after="120"/>
      </w:pPr>
      <w:r>
        <w:rPr>
          <w:rFonts w:ascii="Times New Roman" w:hAnsi="Times New Roman"/>
          <w:b/>
          <w:color w:val="1B3A5F"/>
          <w:sz w:val="26"/>
        </w:rPr>
        <w:t>3. Objectives</w:t>
      </w:r>
    </w:p>
    <w:p>
      <w:pPr>
        <w:spacing w:after="80"/>
      </w:pPr>
      <w:r>
        <w:rPr>
          <w:rFonts w:ascii="Times New Roman" w:hAnsi="Times New Roman"/>
          <w:b w:val="0"/>
          <w:i w:val="0"/>
          <w:color w:val="000000"/>
          <w:sz w:val="24"/>
        </w:rPr>
        <w:t>The project deliberately proposes a narrow, measurable scope:</w:t>
      </w:r>
    </w:p>
    <w:p>
      <w:pPr>
        <w:pStyle w:val="ListBullet"/>
        <w:spacing w:after="80"/>
      </w:pPr>
      <w:r>
        <w:rPr>
          <w:rFonts w:ascii="Times New Roman" w:hAnsi="Times New Roman"/>
          <w:b/>
          <w:sz w:val="24"/>
        </w:rPr>
        <w:t>O1.</w:t>
      </w:r>
      <w:r>
        <w:rPr>
          <w:rFonts w:ascii="Times New Roman" w:hAnsi="Times New Roman"/>
          <w:sz w:val="24"/>
        </w:rPr>
        <w:t xml:space="preserve"> Design and verify the RTL of one programmable compute tile: a MAC (multiply-accumulate) array, a small vector unit with activation support, local buffer memory, and an instruction sequencer, operating on INT8/INT16 data.</w:t>
      </w:r>
    </w:p>
    <w:p>
      <w:pPr>
        <w:pStyle w:val="ListBullet"/>
        <w:spacing w:after="80"/>
      </w:pPr>
      <w:r>
        <w:rPr>
          <w:rFonts w:ascii="Times New Roman" w:hAnsi="Times New Roman"/>
          <w:b/>
          <w:sz w:val="24"/>
        </w:rPr>
        <w:t>O2.</w:t>
      </w:r>
      <w:r>
        <w:rPr>
          <w:rFonts w:ascii="Times New Roman" w:hAnsi="Times New Roman"/>
          <w:sz w:val="24"/>
        </w:rPr>
        <w:t xml:space="preserve"> Integrate a 2×2 array of four identical tiles with a shared on-chip buffer, a simple interconnect, and a microprogrammed scheduler on a Xilinx Zynq UltraScale+ FPGA.</w:t>
      </w:r>
    </w:p>
    <w:p>
      <w:pPr>
        <w:pStyle w:val="ListBullet"/>
        <w:spacing w:after="80"/>
      </w:pPr>
      <w:r>
        <w:rPr>
          <w:rFonts w:ascii="Times New Roman" w:hAnsi="Times New Roman"/>
          <w:b/>
          <w:sz w:val="24"/>
        </w:rPr>
        <w:t>O3.</w:t>
      </w:r>
      <w:r>
        <w:rPr>
          <w:rFonts w:ascii="Times New Roman" w:hAnsi="Times New Roman"/>
          <w:sz w:val="24"/>
        </w:rPr>
        <w:t xml:space="preserve"> Develop a basic mapping utility that converts a trained model (ONNX, restricted to a documented set of supported layers) into tile instructions and a schedule. Hand-tuning of the generated schedule is acceptable at this stage; a fully automatic optimising compiler is explicitly out of scope.</w:t>
      </w:r>
    </w:p>
    <w:p>
      <w:pPr>
        <w:pStyle w:val="ListBullet"/>
        <w:spacing w:after="80"/>
      </w:pPr>
      <w:r>
        <w:rPr>
          <w:rFonts w:ascii="Times New Roman" w:hAnsi="Times New Roman"/>
          <w:b/>
          <w:sz w:val="24"/>
        </w:rPr>
        <w:t>O4.</w:t>
      </w:r>
      <w:r>
        <w:rPr>
          <w:rFonts w:ascii="Times New Roman" w:hAnsi="Times New Roman"/>
          <w:sz w:val="24"/>
        </w:rPr>
        <w:t xml:space="preserve"> Demonstrate two edge-relevant workloads on the same bitstream, switching between them in software only: (a) a compact image-classification CNN (MobileNet-class), and (b) a 1-D CNN for ECG arrhythmia classification.</w:t>
      </w:r>
    </w:p>
    <w:p>
      <w:pPr>
        <w:pStyle w:val="ListBullet"/>
        <w:spacing w:after="80"/>
      </w:pPr>
      <w:r>
        <w:rPr>
          <w:rFonts w:ascii="Times New Roman" w:hAnsi="Times New Roman"/>
          <w:b/>
          <w:sz w:val="24"/>
        </w:rPr>
        <w:t>O5.</w:t>
      </w:r>
      <w:r>
        <w:rPr>
          <w:rFonts w:ascii="Times New Roman" w:hAnsi="Times New Roman"/>
          <w:sz w:val="24"/>
        </w:rPr>
        <w:t xml:space="preserve"> Publish a measured benchmark report: tile utilisation, latency, energy per inference versus the on-board ARM Cortex-A53 as baseline, and reconfiguration time.</w:t>
      </w:r>
    </w:p>
    <w:p>
      <w:pPr>
        <w:spacing w:before="280" w:after="120"/>
      </w:pPr>
      <w:r>
        <w:rPr>
          <w:rFonts w:ascii="Times New Roman" w:hAnsi="Times New Roman"/>
          <w:b/>
          <w:color w:val="1B3A5F"/>
          <w:sz w:val="26"/>
        </w:rPr>
        <w:t>4. Conceptualisation and Technical Approach</w:t>
      </w:r>
    </w:p>
    <w:p>
      <w:pPr>
        <w:spacing w:after="120"/>
      </w:pPr>
      <w:r>
        <w:rPr>
          <w:rFonts w:ascii="Times New Roman" w:hAnsi="Times New Roman"/>
          <w:b w:val="0"/>
          <w:i w:val="0"/>
          <w:color w:val="000000"/>
          <w:sz w:val="24"/>
        </w:rPr>
        <w:t>Architecture. Each RIA tile contains four elements: (i) an 8×8 INT8 MAC array for matrix and convolution arithmetic; (ii) a 16-lane vector unit implementing activations (ReLU family), pooling, and normalisation as short programs; (iii) dual-banked local SRAM so that the next layer's weights and instructions load while the current layer computes; and (iv) a sequencer that executes the loaded microprogram. A tile therefore behaves as a convolution engine in one layer and as an activation/pooling engine in the next, purely by instruction change.</w:t>
      </w:r>
    </w:p>
    <w:p>
      <w:pPr>
        <w:spacing w:after="120"/>
      </w:pPr>
      <w:r>
        <w:rPr>
          <w:rFonts w:ascii="Times New Roman" w:hAnsi="Times New Roman"/>
          <w:b w:val="0"/>
          <w:i w:val="0"/>
          <w:color w:val="000000"/>
          <w:sz w:val="24"/>
        </w:rPr>
        <w:t>System. Four tiles, a shared scratchpad buffer, DMA to external DDR memory, and a scheduler that dispatches per-layer work to tiles are integrated on the programmable logic of a Zynq UltraScale+ device. The on-chip ARM core acts as host and as the measurement baseline. The array size (2×2) is chosen to be large enough to demonstrate multi-tile scheduling and small enough to be completed and verified within 18 months by a small team.</w:t>
      </w:r>
    </w:p>
    <w:p>
      <w:pPr>
        <w:spacing w:after="120"/>
      </w:pPr>
      <w:r>
        <w:rPr>
          <w:rFonts w:ascii="Times New Roman" w:hAnsi="Times New Roman"/>
          <w:b w:val="0"/>
          <w:i w:val="0"/>
          <w:color w:val="000000"/>
          <w:sz w:val="24"/>
        </w:rPr>
        <w:t>Software (deliberately modest). The mapping utility parses an ONNX graph, checks it against the supported layer set (convolution, dense, ReLU-family activation, pooling, batch normalisation folding, quantisation to INT8), allocates layers to tiles, and emits instruction streams. It is a translation tool, not an optimising compiler; where automatic mapping is inefficient, schedules will be hand-adjusted and the adjustment documented. This honesty keeps the software effort proportionate to a proof-of-concept.</w:t>
      </w:r>
    </w:p>
    <w:p>
      <w:pPr>
        <w:spacing w:after="120"/>
      </w:pPr>
      <w:r>
        <w:rPr>
          <w:rFonts w:ascii="Times New Roman" w:hAnsi="Times New Roman"/>
          <w:b w:val="0"/>
          <w:i w:val="0"/>
          <w:color w:val="000000"/>
          <w:sz w:val="24"/>
        </w:rPr>
        <w:t>What is intentionally excluded: transformer/attention support, multi-FPGA scaling, automatic design-space exploration, and any ASIC work. These are follow-on activities, not commitments of this project.</w:t>
      </w:r>
    </w:p>
    <w:p>
      <w:pPr>
        <w:spacing w:before="280" w:after="120"/>
      </w:pPr>
      <w:r>
        <w:rPr>
          <w:rFonts w:ascii="Times New Roman" w:hAnsi="Times New Roman"/>
          <w:b/>
          <w:color w:val="1B3A5F"/>
          <w:sz w:val="26"/>
        </w:rPr>
        <w:t>5. Work Plan, Design and Delivery Milestones (18 months)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794"/>
            <w:shd w:fill="1B3A5F"/>
          </w:tcPr>
          <w:p>
            <w:pPr>
              <w:spacing w:after="40"/>
            </w:pPr>
            <w:r/>
            <w:r>
              <w:rPr>
                <w:rFonts w:ascii="Times New Roman" w:hAnsi="Times New Roman"/>
                <w:b/>
                <w:color w:val="FFFFFF"/>
                <w:sz w:val="21"/>
              </w:rPr>
              <w:t>Phase</w:t>
            </w:r>
          </w:p>
        </w:tc>
        <w:tc>
          <w:tcPr>
            <w:tcW w:type="dxa" w:w="1020"/>
            <w:shd w:fill="1B3A5F"/>
          </w:tcPr>
          <w:p>
            <w:pPr>
              <w:spacing w:after="40"/>
            </w:pPr>
            <w:r/>
            <w:r>
              <w:rPr>
                <w:rFonts w:ascii="Times New Roman" w:hAnsi="Times New Roman"/>
                <w:b/>
                <w:color w:val="FFFFFF"/>
                <w:sz w:val="21"/>
              </w:rPr>
              <w:t>Months</w:t>
            </w:r>
          </w:p>
        </w:tc>
        <w:tc>
          <w:tcPr>
            <w:tcW w:type="dxa" w:w="3969"/>
            <w:shd w:fill="1B3A5F"/>
          </w:tcPr>
          <w:p>
            <w:pPr>
              <w:spacing w:after="40"/>
            </w:pPr>
            <w:r/>
            <w:r>
              <w:rPr>
                <w:rFonts w:ascii="Times New Roman" w:hAnsi="Times New Roman"/>
                <w:b/>
                <w:color w:val="FFFFFF"/>
                <w:sz w:val="21"/>
              </w:rPr>
              <w:t>Work</w:t>
            </w:r>
          </w:p>
        </w:tc>
        <w:tc>
          <w:tcPr>
            <w:tcW w:type="dxa" w:w="3288"/>
            <w:shd w:fill="1B3A5F"/>
          </w:tcPr>
          <w:p>
            <w:pPr>
              <w:spacing w:after="40"/>
            </w:pPr>
            <w:r/>
            <w:r>
              <w:rPr>
                <w:rFonts w:ascii="Times New Roman" w:hAnsi="Times New Roman"/>
                <w:b/>
                <w:color w:val="FFFFFF"/>
                <w:sz w:val="21"/>
              </w:rPr>
              <w:t>Milestone (verifiable)</w:t>
            </w:r>
          </w:p>
        </w:tc>
      </w:tr>
      <w:tr>
        <w:tc>
          <w:tcPr>
            <w:tcW w:type="dxa" w:w="794"/>
          </w:tcPr>
          <w:p>
            <w:pPr>
              <w:spacing w:after="40"/>
            </w:pPr>
            <w:r/>
            <w:r>
              <w:rPr>
                <w:rFonts w:ascii="Times New Roman" w:hAnsi="Times New Roman"/>
                <w:sz w:val="21"/>
              </w:rPr>
              <w:t>P1</w:t>
            </w:r>
          </w:p>
        </w:tc>
        <w:tc>
          <w:tcPr>
            <w:tcW w:type="dxa" w:w="1020"/>
          </w:tcPr>
          <w:p>
            <w:pPr>
              <w:spacing w:after="40"/>
            </w:pPr>
            <w:r/>
            <w:r>
              <w:rPr>
                <w:rFonts w:ascii="Times New Roman" w:hAnsi="Times New Roman"/>
                <w:sz w:val="21"/>
              </w:rPr>
              <w:t>1–3</w:t>
            </w:r>
          </w:p>
        </w:tc>
        <w:tc>
          <w:tcPr>
            <w:tcW w:type="dxa" w:w="3969"/>
          </w:tcPr>
          <w:p>
            <w:pPr>
              <w:spacing w:after="40"/>
            </w:pPr>
            <w:r/>
            <w:r>
              <w:rPr>
                <w:rFonts w:ascii="Times New Roman" w:hAnsi="Times New Roman"/>
                <w:sz w:val="21"/>
              </w:rPr>
              <w:t>Tile micro-architecture specification; instruction set definition; testbench setup</w:t>
            </w:r>
          </w:p>
        </w:tc>
        <w:tc>
          <w:tcPr>
            <w:tcW w:type="dxa" w:w="3288"/>
          </w:tcPr>
          <w:p>
            <w:pPr>
              <w:spacing w:after="40"/>
            </w:pPr>
            <w:r/>
            <w:r>
              <w:rPr>
                <w:rFonts w:ascii="Times New Roman" w:hAnsi="Times New Roman"/>
                <w:sz w:val="21"/>
              </w:rPr>
              <w:t>M1: Frozen tile spec + ISA document</w:t>
            </w:r>
          </w:p>
        </w:tc>
      </w:tr>
      <w:tr>
        <w:tc>
          <w:tcPr>
            <w:tcW w:type="dxa" w:w="794"/>
          </w:tcPr>
          <w:p>
            <w:pPr>
              <w:spacing w:after="40"/>
            </w:pPr>
            <w:r/>
            <w:r>
              <w:rPr>
                <w:rFonts w:ascii="Times New Roman" w:hAnsi="Times New Roman"/>
                <w:sz w:val="21"/>
              </w:rPr>
              <w:t>P2</w:t>
            </w:r>
          </w:p>
        </w:tc>
        <w:tc>
          <w:tcPr>
            <w:tcW w:type="dxa" w:w="1020"/>
          </w:tcPr>
          <w:p>
            <w:pPr>
              <w:spacing w:after="40"/>
            </w:pPr>
            <w:r/>
            <w:r>
              <w:rPr>
                <w:rFonts w:ascii="Times New Roman" w:hAnsi="Times New Roman"/>
                <w:sz w:val="21"/>
              </w:rPr>
              <w:t>4–7</w:t>
            </w:r>
          </w:p>
        </w:tc>
        <w:tc>
          <w:tcPr>
            <w:tcW w:type="dxa" w:w="3969"/>
          </w:tcPr>
          <w:p>
            <w:pPr>
              <w:spacing w:after="40"/>
            </w:pPr>
            <w:r/>
            <w:r>
              <w:rPr>
                <w:rFonts w:ascii="Times New Roman" w:hAnsi="Times New Roman"/>
                <w:sz w:val="21"/>
              </w:rPr>
              <w:t>Single-tile RTL design and verification; synthesis on target FPGA</w:t>
            </w:r>
          </w:p>
        </w:tc>
        <w:tc>
          <w:tcPr>
            <w:tcW w:type="dxa" w:w="3288"/>
          </w:tcPr>
          <w:p>
            <w:pPr>
              <w:spacing w:after="40"/>
            </w:pPr>
            <w:r/>
            <w:r>
              <w:rPr>
                <w:rFonts w:ascii="Times New Roman" w:hAnsi="Times New Roman"/>
                <w:sz w:val="21"/>
              </w:rPr>
              <w:t>M2: One tile passing GEMM, convolution and vector test vectors on hardware</w:t>
            </w:r>
          </w:p>
        </w:tc>
      </w:tr>
      <w:tr>
        <w:tc>
          <w:tcPr>
            <w:tcW w:type="dxa" w:w="794"/>
          </w:tcPr>
          <w:p>
            <w:pPr>
              <w:spacing w:after="40"/>
            </w:pPr>
            <w:r/>
            <w:r>
              <w:rPr>
                <w:rFonts w:ascii="Times New Roman" w:hAnsi="Times New Roman"/>
                <w:sz w:val="21"/>
              </w:rPr>
              <w:t>P3</w:t>
            </w:r>
          </w:p>
        </w:tc>
        <w:tc>
          <w:tcPr>
            <w:tcW w:type="dxa" w:w="1020"/>
          </w:tcPr>
          <w:p>
            <w:pPr>
              <w:spacing w:after="40"/>
            </w:pPr>
            <w:r/>
            <w:r>
              <w:rPr>
                <w:rFonts w:ascii="Times New Roman" w:hAnsi="Times New Roman"/>
                <w:sz w:val="21"/>
              </w:rPr>
              <w:t>8–11</w:t>
            </w:r>
          </w:p>
        </w:tc>
        <w:tc>
          <w:tcPr>
            <w:tcW w:type="dxa" w:w="3969"/>
          </w:tcPr>
          <w:p>
            <w:pPr>
              <w:spacing w:after="40"/>
            </w:pPr>
            <w:r/>
            <w:r>
              <w:rPr>
                <w:rFonts w:ascii="Times New Roman" w:hAnsi="Times New Roman"/>
                <w:sz w:val="21"/>
              </w:rPr>
              <w:t>2×2 array integration: shared buffer, DMA, scheduler; multi-tile test cases</w:t>
            </w:r>
          </w:p>
        </w:tc>
        <w:tc>
          <w:tcPr>
            <w:tcW w:type="dxa" w:w="3288"/>
          </w:tcPr>
          <w:p>
            <w:pPr>
              <w:spacing w:after="40"/>
            </w:pPr>
            <w:r/>
            <w:r>
              <w:rPr>
                <w:rFonts w:ascii="Times New Roman" w:hAnsi="Times New Roman"/>
                <w:sz w:val="21"/>
              </w:rPr>
              <w:t>M3: Four-tile array executing a multi-layer synthetic network</w:t>
            </w:r>
          </w:p>
        </w:tc>
      </w:tr>
      <w:tr>
        <w:tc>
          <w:tcPr>
            <w:tcW w:type="dxa" w:w="794"/>
          </w:tcPr>
          <w:p>
            <w:pPr>
              <w:spacing w:after="40"/>
            </w:pPr>
            <w:r/>
            <w:r>
              <w:rPr>
                <w:rFonts w:ascii="Times New Roman" w:hAnsi="Times New Roman"/>
                <w:sz w:val="21"/>
              </w:rPr>
              <w:t>P4</w:t>
            </w:r>
          </w:p>
        </w:tc>
        <w:tc>
          <w:tcPr>
            <w:tcW w:type="dxa" w:w="1020"/>
          </w:tcPr>
          <w:p>
            <w:pPr>
              <w:spacing w:after="40"/>
            </w:pPr>
            <w:r/>
            <w:r>
              <w:rPr>
                <w:rFonts w:ascii="Times New Roman" w:hAnsi="Times New Roman"/>
                <w:sz w:val="21"/>
              </w:rPr>
              <w:t>10–14</w:t>
            </w:r>
          </w:p>
        </w:tc>
        <w:tc>
          <w:tcPr>
            <w:tcW w:type="dxa" w:w="3969"/>
          </w:tcPr>
          <w:p>
            <w:pPr>
              <w:spacing w:after="40"/>
            </w:pPr>
            <w:r/>
            <w:r>
              <w:rPr>
                <w:rFonts w:ascii="Times New Roman" w:hAnsi="Times New Roman"/>
                <w:sz w:val="21"/>
              </w:rPr>
              <w:t>Mapping utility for the supported ONNX layer set; INT8 quantisation flow (overlaps P3)</w:t>
            </w:r>
          </w:p>
        </w:tc>
        <w:tc>
          <w:tcPr>
            <w:tcW w:type="dxa" w:w="3288"/>
          </w:tcPr>
          <w:p>
            <w:pPr>
              <w:spacing w:after="40"/>
            </w:pPr>
            <w:r/>
            <w:r>
              <w:rPr>
                <w:rFonts w:ascii="Times New Roman" w:hAnsi="Times New Roman"/>
                <w:sz w:val="21"/>
              </w:rPr>
              <w:t>M4: ECG model running end-to-end from ONNX input</w:t>
            </w:r>
          </w:p>
        </w:tc>
      </w:tr>
      <w:tr>
        <w:tc>
          <w:tcPr>
            <w:tcW w:type="dxa" w:w="794"/>
          </w:tcPr>
          <w:p>
            <w:pPr>
              <w:spacing w:after="40"/>
            </w:pPr>
            <w:r/>
            <w:r>
              <w:rPr>
                <w:rFonts w:ascii="Times New Roman" w:hAnsi="Times New Roman"/>
                <w:sz w:val="21"/>
              </w:rPr>
              <w:t>P5</w:t>
            </w:r>
          </w:p>
        </w:tc>
        <w:tc>
          <w:tcPr>
            <w:tcW w:type="dxa" w:w="1020"/>
          </w:tcPr>
          <w:p>
            <w:pPr>
              <w:spacing w:after="40"/>
            </w:pPr>
            <w:r/>
            <w:r>
              <w:rPr>
                <w:rFonts w:ascii="Times New Roman" w:hAnsi="Times New Roman"/>
                <w:sz w:val="21"/>
              </w:rPr>
              <w:t>14–17</w:t>
            </w:r>
          </w:p>
        </w:tc>
        <w:tc>
          <w:tcPr>
            <w:tcW w:type="dxa" w:w="3969"/>
          </w:tcPr>
          <w:p>
            <w:pPr>
              <w:spacing w:after="40"/>
            </w:pPr>
            <w:r/>
            <w:r>
              <w:rPr>
                <w:rFonts w:ascii="Times New Roman" w:hAnsi="Times New Roman"/>
                <w:sz w:val="21"/>
              </w:rPr>
              <w:t>Second workload (MobileNet-class CNN); performance and power measurement campaign</w:t>
            </w:r>
          </w:p>
        </w:tc>
        <w:tc>
          <w:tcPr>
            <w:tcW w:type="dxa" w:w="3288"/>
          </w:tcPr>
          <w:p>
            <w:pPr>
              <w:spacing w:after="40"/>
            </w:pPr>
            <w:r/>
            <w:r>
              <w:rPr>
                <w:rFonts w:ascii="Times New Roman" w:hAnsi="Times New Roman"/>
                <w:sz w:val="21"/>
              </w:rPr>
              <w:t>M5: Both models on one bitstream; measured benchmark tables</w:t>
            </w:r>
          </w:p>
        </w:tc>
      </w:tr>
      <w:tr>
        <w:tc>
          <w:tcPr>
            <w:tcW w:type="dxa" w:w="794"/>
          </w:tcPr>
          <w:p>
            <w:pPr>
              <w:spacing w:after="40"/>
            </w:pPr>
            <w:r/>
            <w:r>
              <w:rPr>
                <w:rFonts w:ascii="Times New Roman" w:hAnsi="Times New Roman"/>
                <w:sz w:val="21"/>
              </w:rPr>
              <w:t>P6</w:t>
            </w:r>
          </w:p>
        </w:tc>
        <w:tc>
          <w:tcPr>
            <w:tcW w:type="dxa" w:w="1020"/>
          </w:tcPr>
          <w:p>
            <w:pPr>
              <w:spacing w:after="40"/>
            </w:pPr>
            <w:r/>
            <w:r>
              <w:rPr>
                <w:rFonts w:ascii="Times New Roman" w:hAnsi="Times New Roman"/>
                <w:sz w:val="21"/>
              </w:rPr>
              <w:t>17–18</w:t>
            </w:r>
          </w:p>
        </w:tc>
        <w:tc>
          <w:tcPr>
            <w:tcW w:type="dxa" w:w="3969"/>
          </w:tcPr>
          <w:p>
            <w:pPr>
              <w:spacing w:after="40"/>
            </w:pPr>
            <w:r/>
            <w:r>
              <w:rPr>
                <w:rFonts w:ascii="Times New Roman" w:hAnsi="Times New Roman"/>
                <w:sz w:val="21"/>
              </w:rPr>
              <w:t>Benchmark report, documentation, publication and IP filing; TIC demonstration</w:t>
            </w:r>
          </w:p>
        </w:tc>
        <w:tc>
          <w:tcPr>
            <w:tcW w:type="dxa" w:w="3288"/>
          </w:tcPr>
          <w:p>
            <w:pPr>
              <w:spacing w:after="40"/>
            </w:pPr>
            <w:r/>
            <w:r>
              <w:rPr>
                <w:rFonts w:ascii="Times New Roman" w:hAnsi="Times New Roman"/>
                <w:sz w:val="21"/>
              </w:rPr>
              <w:t>M6: Public demo + final report to TIC</w:t>
            </w:r>
          </w:p>
        </w:tc>
      </w:tr>
    </w:tbl>
    <w:p>
      <w:pPr>
        <w:spacing w:after="40"/>
      </w:pPr>
    </w:p>
    <w:p>
      <w:pPr>
        <w:spacing w:after="120"/>
      </w:pPr>
      <w:r>
        <w:rPr>
          <w:rFonts w:ascii="Times New Roman" w:hAnsi="Times New Roman"/>
          <w:b w:val="0"/>
          <w:i/>
          <w:color w:val="000000"/>
          <w:sz w:val="24"/>
        </w:rPr>
        <w:t>Milestones M2, M3 and M5 are hardware demonstrations and can be witnessed by TIC reviewers on the bench.</w:t>
      </w:r>
    </w:p>
    <w:p>
      <w:pPr>
        <w:spacing w:before="280" w:after="120"/>
      </w:pPr>
      <w:r>
        <w:rPr>
          <w:rFonts w:ascii="Times New Roman" w:hAnsi="Times New Roman"/>
          <w:b/>
          <w:color w:val="1B3A5F"/>
          <w:sz w:val="26"/>
        </w:rPr>
        <w:t>6. Deliverables and Success Metrics</w:t>
      </w:r>
    </w:p>
    <w:p>
      <w:pPr>
        <w:pStyle w:val="ListBullet"/>
        <w:spacing w:after="80"/>
      </w:pPr>
      <w:r>
        <w:rPr>
          <w:rFonts w:ascii="Times New Roman" w:hAnsi="Times New Roman"/>
          <w:b/>
          <w:sz w:val="24"/>
        </w:rPr>
        <w:t>D1.</w:t>
      </w:r>
      <w:r>
        <w:rPr>
          <w:rFonts w:ascii="Times New Roman" w:hAnsi="Times New Roman"/>
          <w:sz w:val="24"/>
        </w:rPr>
        <w:t xml:space="preserve"> Verified RTL of the RIA tile and 4-tile system (institution-owned IP).</w:t>
      </w:r>
    </w:p>
    <w:p>
      <w:pPr>
        <w:pStyle w:val="ListBullet"/>
        <w:spacing w:after="80"/>
      </w:pPr>
      <w:r>
        <w:rPr>
          <w:rFonts w:ascii="Times New Roman" w:hAnsi="Times New Roman"/>
          <w:b/>
          <w:sz w:val="24"/>
        </w:rPr>
        <w:t>D2.</w:t>
      </w:r>
      <w:r>
        <w:rPr>
          <w:rFonts w:ascii="Times New Roman" w:hAnsi="Times New Roman"/>
          <w:sz w:val="24"/>
        </w:rPr>
        <w:t xml:space="preserve"> Working FPGA prototype demonstrating both workloads with software-only switching.</w:t>
      </w:r>
    </w:p>
    <w:p>
      <w:pPr>
        <w:pStyle w:val="ListBullet"/>
        <w:spacing w:after="80"/>
      </w:pPr>
      <w:r>
        <w:rPr>
          <w:rFonts w:ascii="Times New Roman" w:hAnsi="Times New Roman"/>
          <w:b/>
          <w:sz w:val="24"/>
        </w:rPr>
        <w:t>D3.</w:t>
      </w:r>
      <w:r>
        <w:rPr>
          <w:rFonts w:ascii="Times New Roman" w:hAnsi="Times New Roman"/>
          <w:sz w:val="24"/>
        </w:rPr>
        <w:t xml:space="preserve"> Mapping utility and user documentation for the supported layer set.</w:t>
      </w:r>
    </w:p>
    <w:p>
      <w:pPr>
        <w:pStyle w:val="ListBullet"/>
        <w:spacing w:after="80"/>
      </w:pPr>
      <w:r>
        <w:rPr>
          <w:rFonts w:ascii="Times New Roman" w:hAnsi="Times New Roman"/>
          <w:b/>
          <w:sz w:val="24"/>
        </w:rPr>
        <w:t>D4.</w:t>
      </w:r>
      <w:r>
        <w:rPr>
          <w:rFonts w:ascii="Times New Roman" w:hAnsi="Times New Roman"/>
          <w:sz w:val="24"/>
        </w:rPr>
        <w:t xml:space="preserve"> Measured benchmark report; at least one publication in a peer-reviewed VLSI/embedded-systems venue; one Indian patent application on the tile/scheduler mechanism.</w:t>
      </w:r>
    </w:p>
    <w:p>
      <w:pPr>
        <w:pStyle w:val="ListBullet"/>
        <w:spacing w:after="80"/>
      </w:pPr>
      <w:r>
        <w:rPr>
          <w:rFonts w:ascii="Times New Roman" w:hAnsi="Times New Roman"/>
          <w:b/>
          <w:sz w:val="24"/>
        </w:rPr>
        <w:t>D5.</w:t>
      </w:r>
      <w:r>
        <w:rPr>
          <w:rFonts w:ascii="Times New Roman" w:hAnsi="Times New Roman"/>
          <w:sz w:val="24"/>
        </w:rPr>
        <w:t xml:space="preserve"> Four UG/PG students trained in accelerator design and two project associates skilled in RTL + ML deployment.</w:t>
      </w:r>
    </w:p>
    <w:p>
      <w:pPr>
        <w:spacing w:after="80"/>
      </w:pPr>
      <w:r>
        <w:rPr>
          <w:rFonts w:ascii="Times New Roman" w:hAnsi="Times New Roman"/>
          <w:b/>
          <w:i w:val="0"/>
          <w:color w:val="000000"/>
          <w:sz w:val="24"/>
        </w:rPr>
        <w:t>Quantitative success criteria:</w:t>
      </w:r>
    </w:p>
    <w:tbl>
      <w:tblPr>
        <w:tblStyle w:val="TableGrid"/>
        <w:tblW w:type="auto" w:w="0"/>
        <w:jc w:val="center"/>
        <w:tblLook w:firstColumn="1" w:firstRow="1" w:lastColumn="0" w:lastRow="0" w:noHBand="0" w:noVBand="1" w:val="04A0"/>
      </w:tblPr>
      <w:tblGrid>
        <w:gridCol w:w="3135"/>
        <w:gridCol w:w="3135"/>
        <w:gridCol w:w="3135"/>
      </w:tblGrid>
      <w:tr>
        <w:tc>
          <w:tcPr>
            <w:tcW w:type="dxa" w:w="2608"/>
            <w:shd w:fill="1B3A5F"/>
          </w:tcPr>
          <w:p>
            <w:pPr>
              <w:spacing w:after="40"/>
            </w:pPr>
            <w:r/>
            <w:r>
              <w:rPr>
                <w:rFonts w:ascii="Times New Roman" w:hAnsi="Times New Roman"/>
                <w:b/>
                <w:color w:val="FFFFFF"/>
                <w:sz w:val="21"/>
              </w:rPr>
              <w:t>Metric</w:t>
            </w:r>
          </w:p>
        </w:tc>
        <w:tc>
          <w:tcPr>
            <w:tcW w:type="dxa" w:w="3402"/>
            <w:shd w:fill="1B3A5F"/>
          </w:tcPr>
          <w:p>
            <w:pPr>
              <w:spacing w:after="40"/>
            </w:pPr>
            <w:r/>
            <w:r>
              <w:rPr>
                <w:rFonts w:ascii="Times New Roman" w:hAnsi="Times New Roman"/>
                <w:b/>
                <w:color w:val="FFFFFF"/>
                <w:sz w:val="21"/>
              </w:rPr>
              <w:t>Target</w:t>
            </w:r>
          </w:p>
        </w:tc>
        <w:tc>
          <w:tcPr>
            <w:tcW w:type="dxa" w:w="3061"/>
            <w:shd w:fill="1B3A5F"/>
          </w:tcPr>
          <w:p>
            <w:pPr>
              <w:spacing w:after="40"/>
            </w:pPr>
            <w:r/>
            <w:r>
              <w:rPr>
                <w:rFonts w:ascii="Times New Roman" w:hAnsi="Times New Roman"/>
                <w:b/>
                <w:color w:val="FFFFFF"/>
                <w:sz w:val="21"/>
              </w:rPr>
              <w:t>How measured</w:t>
            </w:r>
          </w:p>
        </w:tc>
      </w:tr>
      <w:tr>
        <w:tc>
          <w:tcPr>
            <w:tcW w:type="dxa" w:w="2608"/>
          </w:tcPr>
          <w:p>
            <w:pPr>
              <w:spacing w:after="40"/>
            </w:pPr>
            <w:r/>
            <w:r>
              <w:rPr>
                <w:rFonts w:ascii="Times New Roman" w:hAnsi="Times New Roman"/>
                <w:sz w:val="21"/>
              </w:rPr>
              <w:t>Average tile utilisation</w:t>
            </w:r>
          </w:p>
        </w:tc>
        <w:tc>
          <w:tcPr>
            <w:tcW w:type="dxa" w:w="3402"/>
          </w:tcPr>
          <w:p>
            <w:pPr>
              <w:spacing w:after="40"/>
            </w:pPr>
            <w:r/>
            <w:r>
              <w:rPr>
                <w:rFonts w:ascii="Times New Roman" w:hAnsi="Times New Roman"/>
                <w:sz w:val="21"/>
              </w:rPr>
              <w:t>≥ 60% on both workloads</w:t>
            </w:r>
          </w:p>
        </w:tc>
        <w:tc>
          <w:tcPr>
            <w:tcW w:type="dxa" w:w="3061"/>
          </w:tcPr>
          <w:p>
            <w:pPr>
              <w:spacing w:after="40"/>
            </w:pPr>
            <w:r/>
            <w:r>
              <w:rPr>
                <w:rFonts w:ascii="Times New Roman" w:hAnsi="Times New Roman"/>
                <w:sz w:val="21"/>
              </w:rPr>
              <w:t>Hardware performance counters</w:t>
            </w:r>
          </w:p>
        </w:tc>
      </w:tr>
      <w:tr>
        <w:tc>
          <w:tcPr>
            <w:tcW w:type="dxa" w:w="2608"/>
          </w:tcPr>
          <w:p>
            <w:pPr>
              <w:spacing w:after="40"/>
            </w:pPr>
            <w:r/>
            <w:r>
              <w:rPr>
                <w:rFonts w:ascii="Times New Roman" w:hAnsi="Times New Roman"/>
                <w:sz w:val="21"/>
              </w:rPr>
              <w:t>Energy per inference</w:t>
            </w:r>
          </w:p>
        </w:tc>
        <w:tc>
          <w:tcPr>
            <w:tcW w:type="dxa" w:w="3402"/>
          </w:tcPr>
          <w:p>
            <w:pPr>
              <w:spacing w:after="40"/>
            </w:pPr>
            <w:r/>
            <w:r>
              <w:rPr>
                <w:rFonts w:ascii="Times New Roman" w:hAnsi="Times New Roman"/>
                <w:sz w:val="21"/>
              </w:rPr>
              <w:t>≥ 5× better than ARM Cortex-A53 baseline on the same board</w:t>
            </w:r>
          </w:p>
        </w:tc>
        <w:tc>
          <w:tcPr>
            <w:tcW w:type="dxa" w:w="3061"/>
          </w:tcPr>
          <w:p>
            <w:pPr>
              <w:spacing w:after="40"/>
            </w:pPr>
            <w:r/>
            <w:r>
              <w:rPr>
                <w:rFonts w:ascii="Times New Roman" w:hAnsi="Times New Roman"/>
                <w:sz w:val="21"/>
              </w:rPr>
              <w:t>On-board power rails (PMBus) measurement</w:t>
            </w:r>
          </w:p>
        </w:tc>
      </w:tr>
      <w:tr>
        <w:tc>
          <w:tcPr>
            <w:tcW w:type="dxa" w:w="2608"/>
          </w:tcPr>
          <w:p>
            <w:pPr>
              <w:spacing w:after="40"/>
            </w:pPr>
            <w:r/>
            <w:r>
              <w:rPr>
                <w:rFonts w:ascii="Times New Roman" w:hAnsi="Times New Roman"/>
                <w:sz w:val="21"/>
              </w:rPr>
              <w:t>Model switch time</w:t>
            </w:r>
          </w:p>
        </w:tc>
        <w:tc>
          <w:tcPr>
            <w:tcW w:type="dxa" w:w="3402"/>
          </w:tcPr>
          <w:p>
            <w:pPr>
              <w:spacing w:after="40"/>
            </w:pPr>
            <w:r/>
            <w:r>
              <w:rPr>
                <w:rFonts w:ascii="Times New Roman" w:hAnsi="Times New Roman"/>
                <w:sz w:val="21"/>
              </w:rPr>
              <w:t>&lt; 1 minute, software only (no re-synthesis)</w:t>
            </w:r>
          </w:p>
        </w:tc>
        <w:tc>
          <w:tcPr>
            <w:tcW w:type="dxa" w:w="3061"/>
          </w:tcPr>
          <w:p>
            <w:pPr>
              <w:spacing w:after="40"/>
            </w:pPr>
            <w:r/>
            <w:r>
              <w:rPr>
                <w:rFonts w:ascii="Times New Roman" w:hAnsi="Times New Roman"/>
                <w:sz w:val="21"/>
              </w:rPr>
              <w:t>Wall-clock, scripted</w:t>
            </w:r>
          </w:p>
        </w:tc>
      </w:tr>
      <w:tr>
        <w:tc>
          <w:tcPr>
            <w:tcW w:type="dxa" w:w="2608"/>
          </w:tcPr>
          <w:p>
            <w:pPr>
              <w:spacing w:after="40"/>
            </w:pPr>
            <w:r/>
            <w:r>
              <w:rPr>
                <w:rFonts w:ascii="Times New Roman" w:hAnsi="Times New Roman"/>
                <w:sz w:val="21"/>
              </w:rPr>
              <w:t>Reconfiguration overhead</w:t>
            </w:r>
          </w:p>
        </w:tc>
        <w:tc>
          <w:tcPr>
            <w:tcW w:type="dxa" w:w="3402"/>
          </w:tcPr>
          <w:p>
            <w:pPr>
              <w:spacing w:after="40"/>
            </w:pPr>
            <w:r/>
            <w:r>
              <w:rPr>
                <w:rFonts w:ascii="Times New Roman" w:hAnsi="Times New Roman"/>
                <w:sz w:val="21"/>
              </w:rPr>
              <w:t>&lt; 5% of inference runtime</w:t>
            </w:r>
          </w:p>
        </w:tc>
        <w:tc>
          <w:tcPr>
            <w:tcW w:type="dxa" w:w="3061"/>
          </w:tcPr>
          <w:p>
            <w:pPr>
              <w:spacing w:after="40"/>
            </w:pPr>
            <w:r/>
            <w:r>
              <w:rPr>
                <w:rFonts w:ascii="Times New Roman" w:hAnsi="Times New Roman"/>
                <w:sz w:val="21"/>
              </w:rPr>
              <w:t>Cycle counters</w:t>
            </w:r>
          </w:p>
        </w:tc>
      </w:tr>
      <w:tr>
        <w:tc>
          <w:tcPr>
            <w:tcW w:type="dxa" w:w="2608"/>
          </w:tcPr>
          <w:p>
            <w:pPr>
              <w:spacing w:after="40"/>
            </w:pPr>
            <w:r/>
            <w:r>
              <w:rPr>
                <w:rFonts w:ascii="Times New Roman" w:hAnsi="Times New Roman"/>
                <w:sz w:val="21"/>
              </w:rPr>
              <w:t>Accuracy after INT8 quantisation</w:t>
            </w:r>
          </w:p>
        </w:tc>
        <w:tc>
          <w:tcPr>
            <w:tcW w:type="dxa" w:w="3402"/>
          </w:tcPr>
          <w:p>
            <w:pPr>
              <w:spacing w:after="40"/>
            </w:pPr>
            <w:r/>
            <w:r>
              <w:rPr>
                <w:rFonts w:ascii="Times New Roman" w:hAnsi="Times New Roman"/>
                <w:sz w:val="21"/>
              </w:rPr>
              <w:t>Within 1.5% of FP32 reference</w:t>
            </w:r>
          </w:p>
        </w:tc>
        <w:tc>
          <w:tcPr>
            <w:tcW w:type="dxa" w:w="3061"/>
          </w:tcPr>
          <w:p>
            <w:pPr>
              <w:spacing w:after="40"/>
            </w:pPr>
            <w:r/>
            <w:r>
              <w:rPr>
                <w:rFonts w:ascii="Times New Roman" w:hAnsi="Times New Roman"/>
                <w:sz w:val="21"/>
              </w:rPr>
              <w:t>Standard test sets (e.g., MIT-BIH for ECG)</w:t>
            </w:r>
          </w:p>
        </w:tc>
      </w:tr>
    </w:tbl>
    <w:p>
      <w:pPr>
        <w:spacing w:after="40"/>
      </w:pPr>
    </w:p>
    <w:p>
      <w:pPr>
        <w:spacing w:before="280" w:after="120"/>
      </w:pPr>
      <w:r>
        <w:rPr>
          <w:rFonts w:ascii="Times New Roman" w:hAnsi="Times New Roman"/>
          <w:b/>
          <w:color w:val="1B3A5F"/>
          <w:sz w:val="26"/>
        </w:rPr>
        <w:t>7. Prototype to Go-To-Market Strategy</w:t>
      </w:r>
    </w:p>
    <w:p>
      <w:pPr>
        <w:spacing w:after="120"/>
      </w:pPr>
      <w:r>
        <w:rPr>
          <w:rFonts w:ascii="Times New Roman" w:hAnsi="Times New Roman"/>
          <w:b w:val="0"/>
          <w:i w:val="0"/>
          <w:color w:val="000000"/>
          <w:sz w:val="24"/>
        </w:rPr>
        <w:t>This project delivers a laboratory-validated prototype (TRL 4–5). The commercialisation path beyond it is staged and realistic:</w:t>
      </w:r>
    </w:p>
    <w:p>
      <w:pPr>
        <w:pStyle w:val="ListBullet"/>
        <w:spacing w:after="80"/>
      </w:pPr>
      <w:r>
        <w:rPr>
          <w:rFonts w:ascii="Times New Roman" w:hAnsi="Times New Roman"/>
          <w:b/>
          <w:sz w:val="24"/>
        </w:rPr>
        <w:t>Near term (during project).</w:t>
      </w:r>
      <w:r>
        <w:rPr>
          <w:rFonts w:ascii="Times New Roman" w:hAnsi="Times New Roman"/>
          <w:sz w:val="24"/>
        </w:rPr>
        <w:t xml:space="preserve"> The ECG demonstration is chosen deliberately: single-model, low-power medical and industrial monitoring devices are a market where FPGA-based deployment is already accepted, so the prototype itself is close to a usable reference design.</w:t>
      </w:r>
    </w:p>
    <w:p>
      <w:pPr>
        <w:pStyle w:val="ListBullet"/>
        <w:spacing w:after="80"/>
      </w:pPr>
      <w:r>
        <w:rPr>
          <w:rFonts w:ascii="Times New Roman" w:hAnsi="Times New Roman"/>
          <w:b/>
          <w:sz w:val="24"/>
        </w:rPr>
        <w:t>After the project (12–24 months).</w:t>
      </w:r>
      <w:r>
        <w:rPr>
          <w:rFonts w:ascii="Times New Roman" w:hAnsi="Times New Roman"/>
          <w:sz w:val="24"/>
        </w:rPr>
        <w:t xml:space="preserve"> Package the design as an evaluation kit (board + mapping utility + documentation) for Indian device makers; incubate the activity through the institution's TBI with SASTRA–TCS TIC guidance; apply to the Design-Linked Incentive (DLI) scheme, for which a working FPGA prototype with measured results is the natural entry evidence.</w:t>
      </w:r>
    </w:p>
    <w:p>
      <w:pPr>
        <w:pStyle w:val="ListBullet"/>
        <w:spacing w:after="80"/>
      </w:pPr>
      <w:r>
        <w:rPr>
          <w:rFonts w:ascii="Times New Roman" w:hAnsi="Times New Roman"/>
          <w:b/>
          <w:sz w:val="24"/>
        </w:rPr>
        <w:t>Long term.</w:t>
      </w:r>
      <w:r>
        <w:rPr>
          <w:rFonts w:ascii="Times New Roman" w:hAnsi="Times New Roman"/>
          <w:sz w:val="24"/>
        </w:rPr>
        <w:t xml:space="preserve"> Scale the tile array, extend the supported layer set, and license the design as semiconductor IP to Indian SoC companies. This is the ambition, but no deliverable of the present proposal depends on it.</w:t>
      </w:r>
    </w:p>
    <w:p>
      <w:pPr>
        <w:spacing w:before="280" w:after="120"/>
      </w:pPr>
      <w:r>
        <w:rPr>
          <w:rFonts w:ascii="Times New Roman" w:hAnsi="Times New Roman"/>
          <w:b/>
          <w:color w:val="1B3A5F"/>
          <w:sz w:val="26"/>
        </w:rPr>
        <w:t>8. Team Composition</w:t>
      </w:r>
    </w:p>
    <w:p>
      <w:pPr>
        <w:spacing w:after="120"/>
      </w:pPr>
      <w:r>
        <w:rPr>
          <w:rFonts w:ascii="Times New Roman" w:hAnsi="Times New Roman"/>
          <w:b w:val="0"/>
          <w:i/>
          <w:color w:val="000000"/>
          <w:sz w:val="24"/>
        </w:rPr>
        <w:t>&lt;One-paragraph profile of the team lead / PI to be inserted here, per the call requirement: name, designation, relevant experience in VLSI/FPGA/embedded ML, key publications or projects.&gt;</w:t>
      </w:r>
    </w:p>
    <w:tbl>
      <w:tblPr>
        <w:tblStyle w:val="TableGrid"/>
        <w:tblW w:type="auto" w:w="0"/>
        <w:jc w:val="center"/>
        <w:tblLook w:firstColumn="1" w:firstRow="1" w:lastColumn="0" w:lastRow="0" w:noHBand="0" w:noVBand="1" w:val="04A0"/>
      </w:tblPr>
      <w:tblGrid>
        <w:gridCol w:w="3135"/>
        <w:gridCol w:w="3135"/>
        <w:gridCol w:w="3135"/>
      </w:tblGrid>
      <w:tr>
        <w:tc>
          <w:tcPr>
            <w:tcW w:type="dxa" w:w="3628"/>
            <w:shd w:fill="1B3A5F"/>
          </w:tcPr>
          <w:p>
            <w:pPr>
              <w:spacing w:after="40"/>
            </w:pPr>
            <w:r/>
            <w:r>
              <w:rPr>
                <w:rFonts w:ascii="Times New Roman" w:hAnsi="Times New Roman"/>
                <w:b/>
                <w:color w:val="FFFFFF"/>
                <w:sz w:val="21"/>
              </w:rPr>
              <w:t>Role</w:t>
            </w:r>
          </w:p>
        </w:tc>
        <w:tc>
          <w:tcPr>
            <w:tcW w:type="dxa" w:w="907"/>
            <w:shd w:fill="1B3A5F"/>
          </w:tcPr>
          <w:p>
            <w:pPr>
              <w:spacing w:after="40"/>
            </w:pPr>
            <w:r/>
            <w:r>
              <w:rPr>
                <w:rFonts w:ascii="Times New Roman" w:hAnsi="Times New Roman"/>
                <w:b/>
                <w:color w:val="FFFFFF"/>
                <w:sz w:val="21"/>
              </w:rPr>
              <w:t>Count</w:t>
            </w:r>
          </w:p>
        </w:tc>
        <w:tc>
          <w:tcPr>
            <w:tcW w:type="dxa" w:w="4535"/>
            <w:shd w:fill="1B3A5F"/>
          </w:tcPr>
          <w:p>
            <w:pPr>
              <w:spacing w:after="40"/>
            </w:pPr>
            <w:r/>
            <w:r>
              <w:rPr>
                <w:rFonts w:ascii="Times New Roman" w:hAnsi="Times New Roman"/>
                <w:b/>
                <w:color w:val="FFFFFF"/>
                <w:sz w:val="21"/>
              </w:rPr>
              <w:t>Responsibility</w:t>
            </w:r>
          </w:p>
        </w:tc>
      </w:tr>
      <w:tr>
        <w:tc>
          <w:tcPr>
            <w:tcW w:type="dxa" w:w="3628"/>
          </w:tcPr>
          <w:p>
            <w:pPr>
              <w:spacing w:after="40"/>
            </w:pPr>
            <w:r/>
            <w:r>
              <w:rPr>
                <w:rFonts w:ascii="Times New Roman" w:hAnsi="Times New Roman"/>
                <w:sz w:val="21"/>
              </w:rPr>
              <w:t>Principal Investigator (faculty)</w:t>
            </w:r>
          </w:p>
        </w:tc>
        <w:tc>
          <w:tcPr>
            <w:tcW w:type="dxa" w:w="907"/>
          </w:tcPr>
          <w:p>
            <w:pPr>
              <w:spacing w:after="40"/>
            </w:pPr>
            <w:r/>
            <w:r>
              <w:rPr>
                <w:rFonts w:ascii="Times New Roman" w:hAnsi="Times New Roman"/>
                <w:sz w:val="21"/>
              </w:rPr>
              <w:t>1</w:t>
            </w:r>
          </w:p>
        </w:tc>
        <w:tc>
          <w:tcPr>
            <w:tcW w:type="dxa" w:w="4535"/>
          </w:tcPr>
          <w:p>
            <w:pPr>
              <w:spacing w:after="40"/>
            </w:pPr>
            <w:r/>
            <w:r>
              <w:rPr>
                <w:rFonts w:ascii="Times New Roman" w:hAnsi="Times New Roman"/>
                <w:sz w:val="21"/>
              </w:rPr>
              <w:t>Architecture, technical direction, reporting to TIC</w:t>
            </w:r>
          </w:p>
        </w:tc>
      </w:tr>
      <w:tr>
        <w:tc>
          <w:tcPr>
            <w:tcW w:type="dxa" w:w="3628"/>
          </w:tcPr>
          <w:p>
            <w:pPr>
              <w:spacing w:after="40"/>
            </w:pPr>
            <w:r/>
            <w:r>
              <w:rPr>
                <w:rFonts w:ascii="Times New Roman" w:hAnsi="Times New Roman"/>
                <w:sz w:val="21"/>
              </w:rPr>
              <w:t>Co-PI (faculty, VLSI/embedded)</w:t>
            </w:r>
          </w:p>
        </w:tc>
        <w:tc>
          <w:tcPr>
            <w:tcW w:type="dxa" w:w="907"/>
          </w:tcPr>
          <w:p>
            <w:pPr>
              <w:spacing w:after="40"/>
            </w:pPr>
            <w:r/>
            <w:r>
              <w:rPr>
                <w:rFonts w:ascii="Times New Roman" w:hAnsi="Times New Roman"/>
                <w:sz w:val="21"/>
              </w:rPr>
              <w:t>1</w:t>
            </w:r>
          </w:p>
        </w:tc>
        <w:tc>
          <w:tcPr>
            <w:tcW w:type="dxa" w:w="4535"/>
          </w:tcPr>
          <w:p>
            <w:pPr>
              <w:spacing w:after="40"/>
            </w:pPr>
            <w:r/>
            <w:r>
              <w:rPr>
                <w:rFonts w:ascii="Times New Roman" w:hAnsi="Times New Roman"/>
                <w:sz w:val="21"/>
              </w:rPr>
              <w:t>Verification methodology, measurement campaign</w:t>
            </w:r>
          </w:p>
        </w:tc>
      </w:tr>
      <w:tr>
        <w:tc>
          <w:tcPr>
            <w:tcW w:type="dxa" w:w="3628"/>
          </w:tcPr>
          <w:p>
            <w:pPr>
              <w:spacing w:after="40"/>
            </w:pPr>
            <w:r/>
            <w:r>
              <w:rPr>
                <w:rFonts w:ascii="Times New Roman" w:hAnsi="Times New Roman"/>
                <w:sz w:val="21"/>
              </w:rPr>
              <w:t>Project Associates (full-time)</w:t>
            </w:r>
          </w:p>
        </w:tc>
        <w:tc>
          <w:tcPr>
            <w:tcW w:type="dxa" w:w="907"/>
          </w:tcPr>
          <w:p>
            <w:pPr>
              <w:spacing w:after="40"/>
            </w:pPr>
            <w:r/>
            <w:r>
              <w:rPr>
                <w:rFonts w:ascii="Times New Roman" w:hAnsi="Times New Roman"/>
                <w:sz w:val="21"/>
              </w:rPr>
              <w:t>2</w:t>
            </w:r>
          </w:p>
        </w:tc>
        <w:tc>
          <w:tcPr>
            <w:tcW w:type="dxa" w:w="4535"/>
          </w:tcPr>
          <w:p>
            <w:pPr>
              <w:spacing w:after="40"/>
            </w:pPr>
            <w:r/>
            <w:r>
              <w:rPr>
                <w:rFonts w:ascii="Times New Roman" w:hAnsi="Times New Roman"/>
                <w:sz w:val="21"/>
              </w:rPr>
              <w:t>One RTL-focused, one software/ML-deployment-focused</w:t>
            </w:r>
          </w:p>
        </w:tc>
      </w:tr>
      <w:tr>
        <w:tc>
          <w:tcPr>
            <w:tcW w:type="dxa" w:w="3628"/>
          </w:tcPr>
          <w:p>
            <w:pPr>
              <w:spacing w:after="40"/>
            </w:pPr>
            <w:r/>
            <w:r>
              <w:rPr>
                <w:rFonts w:ascii="Times New Roman" w:hAnsi="Times New Roman"/>
                <w:sz w:val="21"/>
              </w:rPr>
              <w:t>UG/PG student members</w:t>
            </w:r>
          </w:p>
        </w:tc>
        <w:tc>
          <w:tcPr>
            <w:tcW w:type="dxa" w:w="907"/>
          </w:tcPr>
          <w:p>
            <w:pPr>
              <w:spacing w:after="40"/>
            </w:pPr>
            <w:r/>
            <w:r>
              <w:rPr>
                <w:rFonts w:ascii="Times New Roman" w:hAnsi="Times New Roman"/>
                <w:sz w:val="21"/>
              </w:rPr>
              <w:t>4</w:t>
            </w:r>
          </w:p>
        </w:tc>
        <w:tc>
          <w:tcPr>
            <w:tcW w:type="dxa" w:w="4535"/>
          </w:tcPr>
          <w:p>
            <w:pPr>
              <w:spacing w:after="40"/>
            </w:pPr>
            <w:r/>
            <w:r>
              <w:rPr>
                <w:rFonts w:ascii="Times New Roman" w:hAnsi="Times New Roman"/>
                <w:sz w:val="21"/>
              </w:rPr>
              <w:t>Testbenches, model preparation, benchmarking, documentation</w:t>
            </w:r>
          </w:p>
        </w:tc>
      </w:tr>
    </w:tbl>
    <w:p>
      <w:pPr>
        <w:spacing w:after="40"/>
      </w:pPr>
    </w:p>
    <w:p>
      <w:pPr>
        <w:spacing w:before="280" w:after="120"/>
      </w:pPr>
      <w:r>
        <w:rPr>
          <w:rFonts w:ascii="Times New Roman" w:hAnsi="Times New Roman"/>
          <w:b/>
          <w:color w:val="1B3A5F"/>
          <w:sz w:val="26"/>
        </w:rPr>
        <w:t>9. Budget (Total: Rs. 50.00 Lakh)</w:t>
      </w:r>
    </w:p>
    <w:p>
      <w:pPr>
        <w:spacing w:after="80"/>
      </w:pPr>
      <w:r>
        <w:rPr>
          <w:rFonts w:ascii="Times New Roman" w:hAnsi="Times New Roman"/>
          <w:b/>
          <w:i w:val="0"/>
          <w:color w:val="000000"/>
          <w:sz w:val="24"/>
        </w:rPr>
        <w:t>Capital expenditure:</w:t>
      </w:r>
    </w:p>
    <w:tbl>
      <w:tblPr>
        <w:tblStyle w:val="TableGrid"/>
        <w:tblW w:type="auto" w:w="0"/>
        <w:jc w:val="center"/>
        <w:tblLook w:firstColumn="1" w:firstRow="1" w:lastColumn="0" w:lastRow="0" w:noHBand="0" w:noVBand="1" w:val="04A0"/>
      </w:tblPr>
      <w:tblGrid>
        <w:gridCol w:w="3135"/>
        <w:gridCol w:w="3135"/>
        <w:gridCol w:w="3135"/>
      </w:tblGrid>
      <w:tr>
        <w:tc>
          <w:tcPr>
            <w:tcW w:type="dxa" w:w="510"/>
            <w:shd w:fill="1B3A5F"/>
          </w:tcPr>
          <w:p>
            <w:pPr>
              <w:spacing w:after="40"/>
            </w:pPr>
            <w:r/>
            <w:r>
              <w:rPr>
                <w:rFonts w:ascii="Times New Roman" w:hAnsi="Times New Roman"/>
                <w:b/>
                <w:color w:val="FFFFFF"/>
                <w:sz w:val="21"/>
              </w:rPr>
              <w:t>#</w:t>
            </w:r>
          </w:p>
        </w:tc>
        <w:tc>
          <w:tcPr>
            <w:tcW w:type="dxa" w:w="6520"/>
            <w:shd w:fill="1B3A5F"/>
          </w:tcPr>
          <w:p>
            <w:pPr>
              <w:spacing w:after="40"/>
            </w:pPr>
            <w:r/>
            <w:r>
              <w:rPr>
                <w:rFonts w:ascii="Times New Roman" w:hAnsi="Times New Roman"/>
                <w:b/>
                <w:color w:val="FFFFFF"/>
                <w:sz w:val="21"/>
              </w:rPr>
              <w:t>Item</w:t>
            </w:r>
          </w:p>
        </w:tc>
        <w:tc>
          <w:tcPr>
            <w:tcW w:type="dxa" w:w="2041"/>
            <w:shd w:fill="1B3A5F"/>
          </w:tcPr>
          <w:p>
            <w:pPr>
              <w:spacing w:after="40"/>
            </w:pPr>
            <w:r/>
            <w:r>
              <w:rPr>
                <w:rFonts w:ascii="Times New Roman" w:hAnsi="Times New Roman"/>
                <w:b/>
                <w:color w:val="FFFFFF"/>
                <w:sz w:val="21"/>
              </w:rPr>
              <w:t>Amount (Rs. Lakh)</w:t>
            </w:r>
          </w:p>
        </w:tc>
      </w:tr>
      <w:tr>
        <w:tc>
          <w:tcPr>
            <w:tcW w:type="dxa" w:w="510"/>
          </w:tcPr>
          <w:p>
            <w:pPr>
              <w:spacing w:after="40"/>
            </w:pPr>
            <w:r/>
            <w:r>
              <w:rPr>
                <w:rFonts w:ascii="Times New Roman" w:hAnsi="Times New Roman"/>
                <w:sz w:val="21"/>
              </w:rPr>
              <w:t>1</w:t>
            </w:r>
          </w:p>
        </w:tc>
        <w:tc>
          <w:tcPr>
            <w:tcW w:type="dxa" w:w="6520"/>
          </w:tcPr>
          <w:p>
            <w:pPr>
              <w:spacing w:after="40"/>
            </w:pPr>
            <w:r/>
            <w:r>
              <w:rPr>
                <w:rFonts w:ascii="Times New Roman" w:hAnsi="Times New Roman"/>
                <w:sz w:val="21"/>
              </w:rPr>
              <w:t>2 × AMD-Xilinx Zynq UltraScale+ FPGA development boards (ZCU104 class), incl. import duty/GST</w:t>
            </w:r>
          </w:p>
        </w:tc>
        <w:tc>
          <w:tcPr>
            <w:tcW w:type="dxa" w:w="2041"/>
          </w:tcPr>
          <w:p>
            <w:pPr>
              <w:spacing w:after="40"/>
            </w:pPr>
            <w:r/>
            <w:r>
              <w:rPr>
                <w:rFonts w:ascii="Times New Roman" w:hAnsi="Times New Roman"/>
                <w:sz w:val="21"/>
              </w:rPr>
              <w:t>6.00</w:t>
            </w:r>
          </w:p>
        </w:tc>
      </w:tr>
      <w:tr>
        <w:tc>
          <w:tcPr>
            <w:tcW w:type="dxa" w:w="510"/>
          </w:tcPr>
          <w:p>
            <w:pPr>
              <w:spacing w:after="40"/>
            </w:pPr>
            <w:r/>
            <w:r>
              <w:rPr>
                <w:rFonts w:ascii="Times New Roman" w:hAnsi="Times New Roman"/>
                <w:sz w:val="21"/>
              </w:rPr>
              <w:t>2</w:t>
            </w:r>
          </w:p>
        </w:tc>
        <w:tc>
          <w:tcPr>
            <w:tcW w:type="dxa" w:w="6520"/>
          </w:tcPr>
          <w:p>
            <w:pPr>
              <w:spacing w:after="40"/>
            </w:pPr>
            <w:r/>
            <w:r>
              <w:rPr>
                <w:rFonts w:ascii="Times New Roman" w:hAnsi="Times New Roman"/>
                <w:sz w:val="21"/>
              </w:rPr>
              <w:t>2 × development workstations (simulation and synthesis)</w:t>
            </w:r>
          </w:p>
        </w:tc>
        <w:tc>
          <w:tcPr>
            <w:tcW w:type="dxa" w:w="2041"/>
          </w:tcPr>
          <w:p>
            <w:pPr>
              <w:spacing w:after="40"/>
            </w:pPr>
            <w:r/>
            <w:r>
              <w:rPr>
                <w:rFonts w:ascii="Times New Roman" w:hAnsi="Times New Roman"/>
                <w:sz w:val="21"/>
              </w:rPr>
              <w:t>4.00</w:t>
            </w:r>
          </w:p>
        </w:tc>
      </w:tr>
      <w:tr>
        <w:tc>
          <w:tcPr>
            <w:tcW w:type="dxa" w:w="510"/>
          </w:tcPr>
          <w:p>
            <w:pPr>
              <w:spacing w:after="40"/>
            </w:pPr>
            <w:r/>
            <w:r>
              <w:rPr>
                <w:rFonts w:ascii="Times New Roman" w:hAnsi="Times New Roman"/>
                <w:sz w:val="21"/>
              </w:rPr>
              <w:t>3</w:t>
            </w:r>
          </w:p>
        </w:tc>
        <w:tc>
          <w:tcPr>
            <w:tcW w:type="dxa" w:w="6520"/>
          </w:tcPr>
          <w:p>
            <w:pPr>
              <w:spacing w:after="40"/>
            </w:pPr>
            <w:r/>
            <w:r>
              <w:rPr>
                <w:rFonts w:ascii="Times New Roman" w:hAnsi="Times New Roman"/>
                <w:sz w:val="21"/>
              </w:rPr>
              <w:t>1 × large-format 4K monitor (43") for waveform/layout debugging</w:t>
            </w:r>
          </w:p>
        </w:tc>
        <w:tc>
          <w:tcPr>
            <w:tcW w:type="dxa" w:w="2041"/>
          </w:tcPr>
          <w:p>
            <w:pPr>
              <w:spacing w:after="40"/>
            </w:pPr>
            <w:r/>
            <w:r>
              <w:rPr>
                <w:rFonts w:ascii="Times New Roman" w:hAnsi="Times New Roman"/>
                <w:sz w:val="21"/>
              </w:rPr>
              <w:t>0.80</w:t>
            </w:r>
          </w:p>
        </w:tc>
      </w:tr>
      <w:tr>
        <w:tc>
          <w:tcPr>
            <w:tcW w:type="dxa" w:w="510"/>
          </w:tcPr>
          <w:p>
            <w:pPr>
              <w:spacing w:after="40"/>
            </w:pPr>
            <w:r/>
            <w:r>
              <w:rPr>
                <w:rFonts w:ascii="Times New Roman" w:hAnsi="Times New Roman"/>
                <w:sz w:val="21"/>
              </w:rPr>
              <w:t>4</w:t>
            </w:r>
          </w:p>
        </w:tc>
        <w:tc>
          <w:tcPr>
            <w:tcW w:type="dxa" w:w="6520"/>
          </w:tcPr>
          <w:p>
            <w:pPr>
              <w:spacing w:after="40"/>
            </w:pPr>
            <w:r/>
            <w:r>
              <w:rPr>
                <w:rFonts w:ascii="Times New Roman" w:hAnsi="Times New Roman"/>
                <w:sz w:val="21"/>
              </w:rPr>
              <w:t>Lab accessories: bench power supplies, JTAG programmers, current-measurement instrumentation, cabling, storage</w:t>
            </w:r>
          </w:p>
        </w:tc>
        <w:tc>
          <w:tcPr>
            <w:tcW w:type="dxa" w:w="2041"/>
          </w:tcPr>
          <w:p>
            <w:pPr>
              <w:spacing w:after="40"/>
            </w:pPr>
            <w:r/>
            <w:r>
              <w:rPr>
                <w:rFonts w:ascii="Times New Roman" w:hAnsi="Times New Roman"/>
                <w:sz w:val="21"/>
              </w:rPr>
              <w:t>1.20</w:t>
            </w:r>
          </w:p>
        </w:tc>
      </w:tr>
      <w:tr>
        <w:tc>
          <w:tcPr>
            <w:tcW w:type="dxa" w:w="510"/>
          </w:tcPr>
          <w:p>
            <w:pPr>
              <w:spacing w:after="40"/>
            </w:pPr>
            <w:r/>
            <w:r>
              <w:rPr>
                <w:rFonts w:ascii="Times New Roman" w:hAnsi="Times New Roman"/>
                <w:sz w:val="21"/>
              </w:rPr>
            </w:r>
          </w:p>
        </w:tc>
        <w:tc>
          <w:tcPr>
            <w:tcW w:type="dxa" w:w="6520"/>
          </w:tcPr>
          <w:p>
            <w:pPr>
              <w:spacing w:after="40"/>
            </w:pPr>
            <w:r/>
            <w:r>
              <w:rPr>
                <w:rFonts w:ascii="Times New Roman" w:hAnsi="Times New Roman"/>
                <w:sz w:val="21"/>
              </w:rPr>
              <w:t>Sub-total (capital)</w:t>
            </w:r>
          </w:p>
        </w:tc>
        <w:tc>
          <w:tcPr>
            <w:tcW w:type="dxa" w:w="2041"/>
          </w:tcPr>
          <w:p>
            <w:pPr>
              <w:spacing w:after="40"/>
            </w:pPr>
            <w:r/>
            <w:r>
              <w:rPr>
                <w:rFonts w:ascii="Times New Roman" w:hAnsi="Times New Roman"/>
                <w:sz w:val="21"/>
              </w:rPr>
              <w:t>12.00</w:t>
            </w:r>
          </w:p>
        </w:tc>
      </w:tr>
    </w:tbl>
    <w:p>
      <w:pPr>
        <w:spacing w:after="40"/>
      </w:pPr>
    </w:p>
    <w:p>
      <w:pPr>
        <w:spacing w:after="80"/>
      </w:pPr>
      <w:r>
        <w:rPr>
          <w:rFonts w:ascii="Times New Roman" w:hAnsi="Times New Roman"/>
          <w:b/>
          <w:i w:val="0"/>
          <w:color w:val="000000"/>
          <w:sz w:val="24"/>
        </w:rPr>
        <w:t>Software licences:</w:t>
      </w:r>
    </w:p>
    <w:tbl>
      <w:tblPr>
        <w:tblStyle w:val="TableGrid"/>
        <w:tblW w:type="auto" w:w="0"/>
        <w:jc w:val="center"/>
        <w:tblLook w:firstColumn="1" w:firstRow="1" w:lastColumn="0" w:lastRow="0" w:noHBand="0" w:noVBand="1" w:val="04A0"/>
      </w:tblPr>
      <w:tblGrid>
        <w:gridCol w:w="3135"/>
        <w:gridCol w:w="3135"/>
        <w:gridCol w:w="3135"/>
      </w:tblGrid>
      <w:tr>
        <w:tc>
          <w:tcPr>
            <w:tcW w:type="dxa" w:w="510"/>
            <w:shd w:fill="1B3A5F"/>
          </w:tcPr>
          <w:p>
            <w:pPr>
              <w:spacing w:after="40"/>
            </w:pPr>
            <w:r/>
            <w:r>
              <w:rPr>
                <w:rFonts w:ascii="Times New Roman" w:hAnsi="Times New Roman"/>
                <w:b/>
                <w:color w:val="FFFFFF"/>
                <w:sz w:val="21"/>
              </w:rPr>
              <w:t>#</w:t>
            </w:r>
          </w:p>
        </w:tc>
        <w:tc>
          <w:tcPr>
            <w:tcW w:type="dxa" w:w="6520"/>
            <w:shd w:fill="1B3A5F"/>
          </w:tcPr>
          <w:p>
            <w:pPr>
              <w:spacing w:after="40"/>
            </w:pPr>
            <w:r/>
            <w:r>
              <w:rPr>
                <w:rFonts w:ascii="Times New Roman" w:hAnsi="Times New Roman"/>
                <w:b/>
                <w:color w:val="FFFFFF"/>
                <w:sz w:val="21"/>
              </w:rPr>
              <w:t>Item</w:t>
            </w:r>
          </w:p>
        </w:tc>
        <w:tc>
          <w:tcPr>
            <w:tcW w:type="dxa" w:w="2041"/>
            <w:shd w:fill="1B3A5F"/>
          </w:tcPr>
          <w:p>
            <w:pPr>
              <w:spacing w:after="40"/>
            </w:pPr>
            <w:r/>
            <w:r>
              <w:rPr>
                <w:rFonts w:ascii="Times New Roman" w:hAnsi="Times New Roman"/>
                <w:b/>
                <w:color w:val="FFFFFF"/>
                <w:sz w:val="21"/>
              </w:rPr>
              <w:t>Amount (Rs. Lakh)</w:t>
            </w:r>
          </w:p>
        </w:tc>
      </w:tr>
      <w:tr>
        <w:tc>
          <w:tcPr>
            <w:tcW w:type="dxa" w:w="510"/>
          </w:tcPr>
          <w:p>
            <w:pPr>
              <w:spacing w:after="40"/>
            </w:pPr>
            <w:r/>
            <w:r>
              <w:rPr>
                <w:rFonts w:ascii="Times New Roman" w:hAnsi="Times New Roman"/>
                <w:sz w:val="21"/>
              </w:rPr>
              <w:t>5</w:t>
            </w:r>
          </w:p>
        </w:tc>
        <w:tc>
          <w:tcPr>
            <w:tcW w:type="dxa" w:w="6520"/>
          </w:tcPr>
          <w:p>
            <w:pPr>
              <w:spacing w:after="40"/>
            </w:pPr>
            <w:r/>
            <w:r>
              <w:rPr>
                <w:rFonts w:ascii="Times New Roman" w:hAnsi="Times New Roman"/>
                <w:sz w:val="21"/>
              </w:rPr>
              <w:t>2 × AMD-Xilinx Vivado/Vitis design suite licences (18 months, node-locked seats — required for the target device)</w:t>
            </w:r>
          </w:p>
        </w:tc>
        <w:tc>
          <w:tcPr>
            <w:tcW w:type="dxa" w:w="2041"/>
          </w:tcPr>
          <w:p>
            <w:pPr>
              <w:spacing w:after="40"/>
            </w:pPr>
            <w:r/>
            <w:r>
              <w:rPr>
                <w:rFonts w:ascii="Times New Roman" w:hAnsi="Times New Roman"/>
                <w:sz w:val="21"/>
              </w:rPr>
              <w:t>7.50</w:t>
            </w:r>
          </w:p>
        </w:tc>
      </w:tr>
      <w:tr>
        <w:tc>
          <w:tcPr>
            <w:tcW w:type="dxa" w:w="510"/>
          </w:tcPr>
          <w:p>
            <w:pPr>
              <w:spacing w:after="40"/>
            </w:pPr>
            <w:r/>
            <w:r>
              <w:rPr>
                <w:rFonts w:ascii="Times New Roman" w:hAnsi="Times New Roman"/>
                <w:sz w:val="21"/>
              </w:rPr>
            </w:r>
          </w:p>
        </w:tc>
        <w:tc>
          <w:tcPr>
            <w:tcW w:type="dxa" w:w="6520"/>
          </w:tcPr>
          <w:p>
            <w:pPr>
              <w:spacing w:after="40"/>
            </w:pPr>
            <w:r/>
            <w:r>
              <w:rPr>
                <w:rFonts w:ascii="Times New Roman" w:hAnsi="Times New Roman"/>
                <w:sz w:val="21"/>
              </w:rPr>
              <w:t>Sub-total (software)</w:t>
            </w:r>
          </w:p>
        </w:tc>
        <w:tc>
          <w:tcPr>
            <w:tcW w:type="dxa" w:w="2041"/>
          </w:tcPr>
          <w:p>
            <w:pPr>
              <w:spacing w:after="40"/>
            </w:pPr>
            <w:r/>
            <w:r>
              <w:rPr>
                <w:rFonts w:ascii="Times New Roman" w:hAnsi="Times New Roman"/>
                <w:sz w:val="21"/>
              </w:rPr>
              <w:t>7.50</w:t>
            </w:r>
          </w:p>
        </w:tc>
      </w:tr>
    </w:tbl>
    <w:p>
      <w:pPr>
        <w:spacing w:after="40"/>
      </w:pPr>
    </w:p>
    <w:p>
      <w:pPr>
        <w:spacing w:after="80"/>
      </w:pPr>
      <w:r>
        <w:rPr>
          <w:rFonts w:ascii="Times New Roman" w:hAnsi="Times New Roman"/>
          <w:b/>
          <w:i w:val="0"/>
          <w:color w:val="000000"/>
          <w:sz w:val="24"/>
        </w:rPr>
        <w:t>Manpower (revenue):</w:t>
      </w:r>
    </w:p>
    <w:tbl>
      <w:tblPr>
        <w:tblStyle w:val="TableGrid"/>
        <w:tblW w:type="auto" w:w="0"/>
        <w:jc w:val="center"/>
        <w:tblLook w:firstColumn="1" w:firstRow="1" w:lastColumn="0" w:lastRow="0" w:noHBand="0" w:noVBand="1" w:val="04A0"/>
      </w:tblPr>
      <w:tblGrid>
        <w:gridCol w:w="3135"/>
        <w:gridCol w:w="3135"/>
        <w:gridCol w:w="3135"/>
      </w:tblGrid>
      <w:tr>
        <w:tc>
          <w:tcPr>
            <w:tcW w:type="dxa" w:w="510"/>
            <w:shd w:fill="1B3A5F"/>
          </w:tcPr>
          <w:p>
            <w:pPr>
              <w:spacing w:after="40"/>
            </w:pPr>
            <w:r/>
            <w:r>
              <w:rPr>
                <w:rFonts w:ascii="Times New Roman" w:hAnsi="Times New Roman"/>
                <w:b/>
                <w:color w:val="FFFFFF"/>
                <w:sz w:val="21"/>
              </w:rPr>
              <w:t>#</w:t>
            </w:r>
          </w:p>
        </w:tc>
        <w:tc>
          <w:tcPr>
            <w:tcW w:type="dxa" w:w="6520"/>
            <w:shd w:fill="1B3A5F"/>
          </w:tcPr>
          <w:p>
            <w:pPr>
              <w:spacing w:after="40"/>
            </w:pPr>
            <w:r/>
            <w:r>
              <w:rPr>
                <w:rFonts w:ascii="Times New Roman" w:hAnsi="Times New Roman"/>
                <w:b/>
                <w:color w:val="FFFFFF"/>
                <w:sz w:val="21"/>
              </w:rPr>
              <w:t>Item</w:t>
            </w:r>
          </w:p>
        </w:tc>
        <w:tc>
          <w:tcPr>
            <w:tcW w:type="dxa" w:w="2041"/>
            <w:shd w:fill="1B3A5F"/>
          </w:tcPr>
          <w:p>
            <w:pPr>
              <w:spacing w:after="40"/>
            </w:pPr>
            <w:r/>
            <w:r>
              <w:rPr>
                <w:rFonts w:ascii="Times New Roman" w:hAnsi="Times New Roman"/>
                <w:b/>
                <w:color w:val="FFFFFF"/>
                <w:sz w:val="21"/>
              </w:rPr>
              <w:t>Amount (Rs. Lakh)</w:t>
            </w:r>
          </w:p>
        </w:tc>
      </w:tr>
      <w:tr>
        <w:tc>
          <w:tcPr>
            <w:tcW w:type="dxa" w:w="510"/>
          </w:tcPr>
          <w:p>
            <w:pPr>
              <w:spacing w:after="40"/>
            </w:pPr>
            <w:r/>
            <w:r>
              <w:rPr>
                <w:rFonts w:ascii="Times New Roman" w:hAnsi="Times New Roman"/>
                <w:sz w:val="21"/>
              </w:rPr>
              <w:t>6</w:t>
            </w:r>
          </w:p>
        </w:tc>
        <w:tc>
          <w:tcPr>
            <w:tcW w:type="dxa" w:w="6520"/>
          </w:tcPr>
          <w:p>
            <w:pPr>
              <w:spacing w:after="40"/>
            </w:pPr>
            <w:r/>
            <w:r>
              <w:rPr>
                <w:rFonts w:ascii="Times New Roman" w:hAnsi="Times New Roman"/>
                <w:sz w:val="21"/>
              </w:rPr>
              <w:t>2 × Project Associates @ Rs. 45,000/month × 18 months</w:t>
            </w:r>
          </w:p>
        </w:tc>
        <w:tc>
          <w:tcPr>
            <w:tcW w:type="dxa" w:w="2041"/>
          </w:tcPr>
          <w:p>
            <w:pPr>
              <w:spacing w:after="40"/>
            </w:pPr>
            <w:r/>
            <w:r>
              <w:rPr>
                <w:rFonts w:ascii="Times New Roman" w:hAnsi="Times New Roman"/>
                <w:sz w:val="21"/>
              </w:rPr>
              <w:t>16.20</w:t>
            </w:r>
          </w:p>
        </w:tc>
      </w:tr>
      <w:tr>
        <w:tc>
          <w:tcPr>
            <w:tcW w:type="dxa" w:w="510"/>
          </w:tcPr>
          <w:p>
            <w:pPr>
              <w:spacing w:after="40"/>
            </w:pPr>
            <w:r/>
            <w:r>
              <w:rPr>
                <w:rFonts w:ascii="Times New Roman" w:hAnsi="Times New Roman"/>
                <w:sz w:val="21"/>
              </w:rPr>
              <w:t>7</w:t>
            </w:r>
          </w:p>
        </w:tc>
        <w:tc>
          <w:tcPr>
            <w:tcW w:type="dxa" w:w="6520"/>
          </w:tcPr>
          <w:p>
            <w:pPr>
              <w:spacing w:after="40"/>
            </w:pPr>
            <w:r/>
            <w:r>
              <w:rPr>
                <w:rFonts w:ascii="Times New Roman" w:hAnsi="Times New Roman"/>
                <w:sz w:val="21"/>
              </w:rPr>
              <w:t>UG/PG student stipends and internship support</w:t>
            </w:r>
          </w:p>
        </w:tc>
        <w:tc>
          <w:tcPr>
            <w:tcW w:type="dxa" w:w="2041"/>
          </w:tcPr>
          <w:p>
            <w:pPr>
              <w:spacing w:after="40"/>
            </w:pPr>
            <w:r/>
            <w:r>
              <w:rPr>
                <w:rFonts w:ascii="Times New Roman" w:hAnsi="Times New Roman"/>
                <w:sz w:val="21"/>
              </w:rPr>
              <w:t>1.80</w:t>
            </w:r>
          </w:p>
        </w:tc>
      </w:tr>
      <w:tr>
        <w:tc>
          <w:tcPr>
            <w:tcW w:type="dxa" w:w="510"/>
          </w:tcPr>
          <w:p>
            <w:pPr>
              <w:spacing w:after="40"/>
            </w:pPr>
            <w:r/>
            <w:r>
              <w:rPr>
                <w:rFonts w:ascii="Times New Roman" w:hAnsi="Times New Roman"/>
                <w:sz w:val="21"/>
              </w:rPr>
            </w:r>
          </w:p>
        </w:tc>
        <w:tc>
          <w:tcPr>
            <w:tcW w:type="dxa" w:w="6520"/>
          </w:tcPr>
          <w:p>
            <w:pPr>
              <w:spacing w:after="40"/>
            </w:pPr>
            <w:r/>
            <w:r>
              <w:rPr>
                <w:rFonts w:ascii="Times New Roman" w:hAnsi="Times New Roman"/>
                <w:sz w:val="21"/>
              </w:rPr>
              <w:t>Sub-total (manpower)</w:t>
            </w:r>
          </w:p>
        </w:tc>
        <w:tc>
          <w:tcPr>
            <w:tcW w:type="dxa" w:w="2041"/>
          </w:tcPr>
          <w:p>
            <w:pPr>
              <w:spacing w:after="40"/>
            </w:pPr>
            <w:r/>
            <w:r>
              <w:rPr>
                <w:rFonts w:ascii="Times New Roman" w:hAnsi="Times New Roman"/>
                <w:sz w:val="21"/>
              </w:rPr>
              <w:t>18.00</w:t>
            </w:r>
          </w:p>
        </w:tc>
      </w:tr>
    </w:tbl>
    <w:p>
      <w:pPr>
        <w:spacing w:after="40"/>
      </w:pPr>
    </w:p>
    <w:p>
      <w:pPr>
        <w:spacing w:after="80"/>
      </w:pPr>
      <w:r>
        <w:rPr>
          <w:rFonts w:ascii="Times New Roman" w:hAnsi="Times New Roman"/>
          <w:b/>
          <w:i w:val="0"/>
          <w:color w:val="000000"/>
          <w:sz w:val="24"/>
        </w:rPr>
        <w:t>Operations and other heads:</w:t>
      </w:r>
    </w:p>
    <w:tbl>
      <w:tblPr>
        <w:tblStyle w:val="TableGrid"/>
        <w:tblW w:type="auto" w:w="0"/>
        <w:jc w:val="center"/>
        <w:tblLook w:firstColumn="1" w:firstRow="1" w:lastColumn="0" w:lastRow="0" w:noHBand="0" w:noVBand="1" w:val="04A0"/>
      </w:tblPr>
      <w:tblGrid>
        <w:gridCol w:w="3135"/>
        <w:gridCol w:w="3135"/>
        <w:gridCol w:w="3135"/>
      </w:tblGrid>
      <w:tr>
        <w:tc>
          <w:tcPr>
            <w:tcW w:type="dxa" w:w="510"/>
            <w:shd w:fill="1B3A5F"/>
          </w:tcPr>
          <w:p>
            <w:pPr>
              <w:spacing w:after="40"/>
            </w:pPr>
            <w:r/>
            <w:r>
              <w:rPr>
                <w:rFonts w:ascii="Times New Roman" w:hAnsi="Times New Roman"/>
                <w:b/>
                <w:color w:val="FFFFFF"/>
                <w:sz w:val="21"/>
              </w:rPr>
              <w:t>#</w:t>
            </w:r>
          </w:p>
        </w:tc>
        <w:tc>
          <w:tcPr>
            <w:tcW w:type="dxa" w:w="6520"/>
            <w:shd w:fill="1B3A5F"/>
          </w:tcPr>
          <w:p>
            <w:pPr>
              <w:spacing w:after="40"/>
            </w:pPr>
            <w:r/>
            <w:r>
              <w:rPr>
                <w:rFonts w:ascii="Times New Roman" w:hAnsi="Times New Roman"/>
                <w:b/>
                <w:color w:val="FFFFFF"/>
                <w:sz w:val="21"/>
              </w:rPr>
              <w:t>Item</w:t>
            </w:r>
          </w:p>
        </w:tc>
        <w:tc>
          <w:tcPr>
            <w:tcW w:type="dxa" w:w="2041"/>
            <w:shd w:fill="1B3A5F"/>
          </w:tcPr>
          <w:p>
            <w:pPr>
              <w:spacing w:after="40"/>
            </w:pPr>
            <w:r/>
            <w:r>
              <w:rPr>
                <w:rFonts w:ascii="Times New Roman" w:hAnsi="Times New Roman"/>
                <w:b/>
                <w:color w:val="FFFFFF"/>
                <w:sz w:val="21"/>
              </w:rPr>
              <w:t>Amount (Rs. Lakh)</w:t>
            </w:r>
          </w:p>
        </w:tc>
      </w:tr>
      <w:tr>
        <w:tc>
          <w:tcPr>
            <w:tcW w:type="dxa" w:w="510"/>
          </w:tcPr>
          <w:p>
            <w:pPr>
              <w:spacing w:after="40"/>
            </w:pPr>
            <w:r/>
            <w:r>
              <w:rPr>
                <w:rFonts w:ascii="Times New Roman" w:hAnsi="Times New Roman"/>
                <w:sz w:val="21"/>
              </w:rPr>
              <w:t>8</w:t>
            </w:r>
          </w:p>
        </w:tc>
        <w:tc>
          <w:tcPr>
            <w:tcW w:type="dxa" w:w="6520"/>
          </w:tcPr>
          <w:p>
            <w:pPr>
              <w:spacing w:after="40"/>
            </w:pPr>
            <w:r/>
            <w:r>
              <w:rPr>
                <w:rFonts w:ascii="Times New Roman" w:hAnsi="Times New Roman"/>
                <w:sz w:val="21"/>
              </w:rPr>
              <w:t>Cloud compute for regression simulation and CI</w:t>
            </w:r>
          </w:p>
        </w:tc>
        <w:tc>
          <w:tcPr>
            <w:tcW w:type="dxa" w:w="2041"/>
          </w:tcPr>
          <w:p>
            <w:pPr>
              <w:spacing w:after="40"/>
            </w:pPr>
            <w:r/>
            <w:r>
              <w:rPr>
                <w:rFonts w:ascii="Times New Roman" w:hAnsi="Times New Roman"/>
                <w:sz w:val="21"/>
              </w:rPr>
              <w:t>1.00</w:t>
            </w:r>
          </w:p>
        </w:tc>
      </w:tr>
      <w:tr>
        <w:tc>
          <w:tcPr>
            <w:tcW w:type="dxa" w:w="510"/>
          </w:tcPr>
          <w:p>
            <w:pPr>
              <w:spacing w:after="40"/>
            </w:pPr>
            <w:r/>
            <w:r>
              <w:rPr>
                <w:rFonts w:ascii="Times New Roman" w:hAnsi="Times New Roman"/>
                <w:sz w:val="21"/>
              </w:rPr>
              <w:t>9</w:t>
            </w:r>
          </w:p>
        </w:tc>
        <w:tc>
          <w:tcPr>
            <w:tcW w:type="dxa" w:w="6520"/>
          </w:tcPr>
          <w:p>
            <w:pPr>
              <w:spacing w:after="40"/>
            </w:pPr>
            <w:r/>
            <w:r>
              <w:rPr>
                <w:rFonts w:ascii="Times New Roman" w:hAnsi="Times New Roman"/>
                <w:sz w:val="21"/>
              </w:rPr>
              <w:t>Conference travel and registration (two national venues)</w:t>
            </w:r>
          </w:p>
        </w:tc>
        <w:tc>
          <w:tcPr>
            <w:tcW w:type="dxa" w:w="2041"/>
          </w:tcPr>
          <w:p>
            <w:pPr>
              <w:spacing w:after="40"/>
            </w:pPr>
            <w:r/>
            <w:r>
              <w:rPr>
                <w:rFonts w:ascii="Times New Roman" w:hAnsi="Times New Roman"/>
                <w:sz w:val="21"/>
              </w:rPr>
              <w:t>1.50</w:t>
            </w:r>
          </w:p>
        </w:tc>
      </w:tr>
      <w:tr>
        <w:tc>
          <w:tcPr>
            <w:tcW w:type="dxa" w:w="510"/>
          </w:tcPr>
          <w:p>
            <w:pPr>
              <w:spacing w:after="40"/>
            </w:pPr>
            <w:r/>
            <w:r>
              <w:rPr>
                <w:rFonts w:ascii="Times New Roman" w:hAnsi="Times New Roman"/>
                <w:sz w:val="21"/>
              </w:rPr>
              <w:t>10</w:t>
            </w:r>
          </w:p>
        </w:tc>
        <w:tc>
          <w:tcPr>
            <w:tcW w:type="dxa" w:w="6520"/>
          </w:tcPr>
          <w:p>
            <w:pPr>
              <w:spacing w:after="40"/>
            </w:pPr>
            <w:r/>
            <w:r>
              <w:rPr>
                <w:rFonts w:ascii="Times New Roman" w:hAnsi="Times New Roman"/>
                <w:sz w:val="21"/>
              </w:rPr>
              <w:t>Publication charges and one Indian patent filing</w:t>
            </w:r>
          </w:p>
        </w:tc>
        <w:tc>
          <w:tcPr>
            <w:tcW w:type="dxa" w:w="2041"/>
          </w:tcPr>
          <w:p>
            <w:pPr>
              <w:spacing w:after="40"/>
            </w:pPr>
            <w:r/>
            <w:r>
              <w:rPr>
                <w:rFonts w:ascii="Times New Roman" w:hAnsi="Times New Roman"/>
                <w:sz w:val="21"/>
              </w:rPr>
              <w:t>1.50</w:t>
            </w:r>
          </w:p>
        </w:tc>
      </w:tr>
      <w:tr>
        <w:tc>
          <w:tcPr>
            <w:tcW w:type="dxa" w:w="510"/>
          </w:tcPr>
          <w:p>
            <w:pPr>
              <w:spacing w:after="40"/>
            </w:pPr>
            <w:r/>
            <w:r>
              <w:rPr>
                <w:rFonts w:ascii="Times New Roman" w:hAnsi="Times New Roman"/>
                <w:sz w:val="21"/>
              </w:rPr>
              <w:t>11</w:t>
            </w:r>
          </w:p>
        </w:tc>
        <w:tc>
          <w:tcPr>
            <w:tcW w:type="dxa" w:w="6520"/>
          </w:tcPr>
          <w:p>
            <w:pPr>
              <w:spacing w:after="40"/>
            </w:pPr>
            <w:r/>
            <w:r>
              <w:rPr>
                <w:rFonts w:ascii="Times New Roman" w:hAnsi="Times New Roman"/>
                <w:sz w:val="21"/>
              </w:rPr>
              <w:t>Consumables (SD cards, adapters, spare components)</w:t>
            </w:r>
          </w:p>
        </w:tc>
        <w:tc>
          <w:tcPr>
            <w:tcW w:type="dxa" w:w="2041"/>
          </w:tcPr>
          <w:p>
            <w:pPr>
              <w:spacing w:after="40"/>
            </w:pPr>
            <w:r/>
            <w:r>
              <w:rPr>
                <w:rFonts w:ascii="Times New Roman" w:hAnsi="Times New Roman"/>
                <w:sz w:val="21"/>
              </w:rPr>
              <w:t>0.50</w:t>
            </w:r>
          </w:p>
        </w:tc>
      </w:tr>
      <w:tr>
        <w:tc>
          <w:tcPr>
            <w:tcW w:type="dxa" w:w="510"/>
          </w:tcPr>
          <w:p>
            <w:pPr>
              <w:spacing w:after="40"/>
            </w:pPr>
            <w:r/>
            <w:r>
              <w:rPr>
                <w:rFonts w:ascii="Times New Roman" w:hAnsi="Times New Roman"/>
                <w:sz w:val="21"/>
              </w:rPr>
              <w:t>12</w:t>
            </w:r>
          </w:p>
        </w:tc>
        <w:tc>
          <w:tcPr>
            <w:tcW w:type="dxa" w:w="6520"/>
          </w:tcPr>
          <w:p>
            <w:pPr>
              <w:spacing w:after="40"/>
            </w:pPr>
            <w:r/>
            <w:r>
              <w:rPr>
                <w:rFonts w:ascii="Times New Roman" w:hAnsi="Times New Roman"/>
                <w:sz w:val="21"/>
              </w:rPr>
              <w:t>Contingency</w:t>
            </w:r>
          </w:p>
        </w:tc>
        <w:tc>
          <w:tcPr>
            <w:tcW w:type="dxa" w:w="2041"/>
          </w:tcPr>
          <w:p>
            <w:pPr>
              <w:spacing w:after="40"/>
            </w:pPr>
            <w:r/>
            <w:r>
              <w:rPr>
                <w:rFonts w:ascii="Times New Roman" w:hAnsi="Times New Roman"/>
                <w:sz w:val="21"/>
              </w:rPr>
              <w:t>3.00</w:t>
            </w:r>
          </w:p>
        </w:tc>
      </w:tr>
      <w:tr>
        <w:tc>
          <w:tcPr>
            <w:tcW w:type="dxa" w:w="510"/>
          </w:tcPr>
          <w:p>
            <w:pPr>
              <w:spacing w:after="40"/>
            </w:pPr>
            <w:r/>
            <w:r>
              <w:rPr>
                <w:rFonts w:ascii="Times New Roman" w:hAnsi="Times New Roman"/>
                <w:sz w:val="21"/>
              </w:rPr>
              <w:t>13</w:t>
            </w:r>
          </w:p>
        </w:tc>
        <w:tc>
          <w:tcPr>
            <w:tcW w:type="dxa" w:w="6520"/>
          </w:tcPr>
          <w:p>
            <w:pPr>
              <w:spacing w:after="40"/>
            </w:pPr>
            <w:r/>
            <w:r>
              <w:rPr>
                <w:rFonts w:ascii="Times New Roman" w:hAnsi="Times New Roman"/>
                <w:sz w:val="21"/>
              </w:rPr>
              <w:t>Institutional overhead (10%)</w:t>
            </w:r>
          </w:p>
        </w:tc>
        <w:tc>
          <w:tcPr>
            <w:tcW w:type="dxa" w:w="2041"/>
          </w:tcPr>
          <w:p>
            <w:pPr>
              <w:spacing w:after="40"/>
            </w:pPr>
            <w:r/>
            <w:r>
              <w:rPr>
                <w:rFonts w:ascii="Times New Roman" w:hAnsi="Times New Roman"/>
                <w:sz w:val="21"/>
              </w:rPr>
              <w:t>5.00</w:t>
            </w:r>
          </w:p>
        </w:tc>
      </w:tr>
      <w:tr>
        <w:tc>
          <w:tcPr>
            <w:tcW w:type="dxa" w:w="510"/>
          </w:tcPr>
          <w:p>
            <w:pPr>
              <w:spacing w:after="40"/>
            </w:pPr>
            <w:r/>
            <w:r>
              <w:rPr>
                <w:rFonts w:ascii="Times New Roman" w:hAnsi="Times New Roman"/>
                <w:sz w:val="21"/>
              </w:rPr>
            </w:r>
          </w:p>
        </w:tc>
        <w:tc>
          <w:tcPr>
            <w:tcW w:type="dxa" w:w="6520"/>
          </w:tcPr>
          <w:p>
            <w:pPr>
              <w:spacing w:after="40"/>
            </w:pPr>
            <w:r/>
            <w:r>
              <w:rPr>
                <w:rFonts w:ascii="Times New Roman" w:hAnsi="Times New Roman"/>
                <w:sz w:val="21"/>
              </w:rPr>
              <w:t>Sub-total (operations &amp; other)</w:t>
            </w:r>
          </w:p>
        </w:tc>
        <w:tc>
          <w:tcPr>
            <w:tcW w:type="dxa" w:w="2041"/>
          </w:tcPr>
          <w:p>
            <w:pPr>
              <w:spacing w:after="40"/>
            </w:pPr>
            <w:r/>
            <w:r>
              <w:rPr>
                <w:rFonts w:ascii="Times New Roman" w:hAnsi="Times New Roman"/>
                <w:sz w:val="21"/>
              </w:rPr>
              <w:t>12.50</w:t>
            </w:r>
          </w:p>
        </w:tc>
      </w:tr>
    </w:tbl>
    <w:p>
      <w:pPr>
        <w:spacing w:after="40"/>
      </w:pPr>
    </w:p>
    <w:tbl>
      <w:tblPr>
        <w:tblStyle w:val="TableGrid"/>
        <w:tblW w:type="auto" w:w="0"/>
        <w:jc w:val="center"/>
        <w:tblLook w:firstColumn="1" w:firstRow="1" w:lastColumn="0" w:lastRow="0" w:noHBand="0" w:noVBand="1" w:val="04A0"/>
      </w:tblPr>
      <w:tblGrid>
        <w:gridCol w:w="4703"/>
        <w:gridCol w:w="4703"/>
      </w:tblGrid>
      <w:tr>
        <w:tc>
          <w:tcPr>
            <w:tcW w:type="dxa" w:w="6520"/>
            <w:shd w:fill="1B3A5F"/>
          </w:tcPr>
          <w:p>
            <w:pPr>
              <w:spacing w:after="40"/>
            </w:pPr>
            <w:r/>
            <w:r>
              <w:rPr>
                <w:rFonts w:ascii="Times New Roman" w:hAnsi="Times New Roman"/>
                <w:b/>
                <w:color w:val="FFFFFF"/>
                <w:sz w:val="22"/>
              </w:rPr>
              <w:t>Grand total</w:t>
            </w:r>
          </w:p>
        </w:tc>
        <w:tc>
          <w:tcPr>
            <w:tcW w:type="dxa" w:w="2551"/>
            <w:shd w:fill="1B3A5F"/>
          </w:tcPr>
          <w:p>
            <w:pPr>
              <w:spacing w:after="40"/>
            </w:pPr>
            <w:r/>
            <w:r>
              <w:rPr>
                <w:rFonts w:ascii="Times New Roman" w:hAnsi="Times New Roman"/>
                <w:b/>
                <w:color w:val="FFFFFF"/>
                <w:sz w:val="22"/>
              </w:rPr>
              <w:t>Rs. 50.00 Lakh</w:t>
            </w:r>
          </w:p>
        </w:tc>
      </w:tr>
    </w:tbl>
    <w:p>
      <w:pPr>
        <w:spacing w:after="40"/>
      </w:pPr>
    </w:p>
    <w:p>
      <w:pPr>
        <w:spacing w:before="280" w:after="120"/>
      </w:pPr>
      <w:r>
        <w:rPr>
          <w:rFonts w:ascii="Times New Roman" w:hAnsi="Times New Roman"/>
          <w:b/>
          <w:color w:val="1B3A5F"/>
          <w:sz w:val="26"/>
        </w:rPr>
        <w:t>10. Risks and Mitigation</w:t>
      </w:r>
    </w:p>
    <w:tbl>
      <w:tblPr>
        <w:tblStyle w:val="TableGrid"/>
        <w:tblW w:type="auto" w:w="0"/>
        <w:jc w:val="center"/>
        <w:tblLook w:firstColumn="1" w:firstRow="1" w:lastColumn="0" w:lastRow="0" w:noHBand="0" w:noVBand="1" w:val="04A0"/>
      </w:tblPr>
      <w:tblGrid>
        <w:gridCol w:w="4703"/>
        <w:gridCol w:w="4703"/>
      </w:tblGrid>
      <w:tr>
        <w:tc>
          <w:tcPr>
            <w:tcW w:type="dxa" w:w="3855"/>
            <w:shd w:fill="1B3A5F"/>
          </w:tcPr>
          <w:p>
            <w:pPr>
              <w:spacing w:after="40"/>
            </w:pPr>
            <w:r/>
            <w:r>
              <w:rPr>
                <w:rFonts w:ascii="Times New Roman" w:hAnsi="Times New Roman"/>
                <w:b/>
                <w:color w:val="FFFFFF"/>
                <w:sz w:val="21"/>
              </w:rPr>
              <w:t>Risk</w:t>
            </w:r>
          </w:p>
        </w:tc>
        <w:tc>
          <w:tcPr>
            <w:tcW w:type="dxa" w:w="5216"/>
            <w:shd w:fill="1B3A5F"/>
          </w:tcPr>
          <w:p>
            <w:pPr>
              <w:spacing w:after="40"/>
            </w:pPr>
            <w:r/>
            <w:r>
              <w:rPr>
                <w:rFonts w:ascii="Times New Roman" w:hAnsi="Times New Roman"/>
                <w:b/>
                <w:color w:val="FFFFFF"/>
                <w:sz w:val="21"/>
              </w:rPr>
              <w:t>Mitigation</w:t>
            </w:r>
          </w:p>
        </w:tc>
      </w:tr>
      <w:tr>
        <w:tc>
          <w:tcPr>
            <w:tcW w:type="dxa" w:w="3855"/>
          </w:tcPr>
          <w:p>
            <w:pPr>
              <w:spacing w:after="40"/>
            </w:pPr>
            <w:r/>
            <w:r>
              <w:rPr>
                <w:rFonts w:ascii="Times New Roman" w:hAnsi="Times New Roman"/>
                <w:sz w:val="21"/>
              </w:rPr>
              <w:t>Tile RTL verification takes longer than planned</w:t>
            </w:r>
          </w:p>
        </w:tc>
        <w:tc>
          <w:tcPr>
            <w:tcW w:type="dxa" w:w="5216"/>
          </w:tcPr>
          <w:p>
            <w:pPr>
              <w:spacing w:after="40"/>
            </w:pPr>
            <w:r/>
            <w:r>
              <w:rPr>
                <w:rFonts w:ascii="Times New Roman" w:hAnsi="Times New Roman"/>
                <w:sz w:val="21"/>
              </w:rPr>
              <w:t>Array fixed at 2×2 and layer set frozen at M1; scope is cut (fewer supported layers), never extended, to protect milestones</w:t>
            </w:r>
          </w:p>
        </w:tc>
      </w:tr>
      <w:tr>
        <w:tc>
          <w:tcPr>
            <w:tcW w:type="dxa" w:w="3855"/>
          </w:tcPr>
          <w:p>
            <w:pPr>
              <w:spacing w:after="40"/>
            </w:pPr>
            <w:r/>
            <w:r>
              <w:rPr>
                <w:rFonts w:ascii="Times New Roman" w:hAnsi="Times New Roman"/>
                <w:sz w:val="21"/>
              </w:rPr>
              <w:t>Mapping utility proves harder than expected</w:t>
            </w:r>
          </w:p>
        </w:tc>
        <w:tc>
          <w:tcPr>
            <w:tcW w:type="dxa" w:w="5216"/>
          </w:tcPr>
          <w:p>
            <w:pPr>
              <w:spacing w:after="40"/>
            </w:pPr>
            <w:r/>
            <w:r>
              <w:rPr>
                <w:rFonts w:ascii="Times New Roman" w:hAnsi="Times New Roman"/>
                <w:sz w:val="21"/>
              </w:rPr>
              <w:t>Hand-written schedules are an accepted fallback for both demos; the utility then targets only the ECG model</w:t>
            </w:r>
          </w:p>
        </w:tc>
      </w:tr>
      <w:tr>
        <w:tc>
          <w:tcPr>
            <w:tcW w:type="dxa" w:w="3855"/>
          </w:tcPr>
          <w:p>
            <w:pPr>
              <w:spacing w:after="40"/>
            </w:pPr>
            <w:r/>
            <w:r>
              <w:rPr>
                <w:rFonts w:ascii="Times New Roman" w:hAnsi="Times New Roman"/>
                <w:sz w:val="21"/>
              </w:rPr>
              <w:t>Energy target (≥5× vs CPU) not met initially</w:t>
            </w:r>
          </w:p>
        </w:tc>
        <w:tc>
          <w:tcPr>
            <w:tcW w:type="dxa" w:w="5216"/>
          </w:tcPr>
          <w:p>
            <w:pPr>
              <w:spacing w:after="40"/>
            </w:pPr>
            <w:r/>
            <w:r>
              <w:rPr>
                <w:rFonts w:ascii="Times New Roman" w:hAnsi="Times New Roman"/>
                <w:sz w:val="21"/>
              </w:rPr>
              <w:t>Double-buffering and DMA batching are the known levers; the measurement campaign in P5 reserves time for two optimisation iterations</w:t>
            </w:r>
          </w:p>
        </w:tc>
      </w:tr>
      <w:tr>
        <w:tc>
          <w:tcPr>
            <w:tcW w:type="dxa" w:w="3855"/>
          </w:tcPr>
          <w:p>
            <w:pPr>
              <w:spacing w:after="40"/>
            </w:pPr>
            <w:r/>
            <w:r>
              <w:rPr>
                <w:rFonts w:ascii="Times New Roman" w:hAnsi="Times New Roman"/>
                <w:sz w:val="21"/>
              </w:rPr>
              <w:t>Staff attrition (project associates)</w:t>
            </w:r>
          </w:p>
        </w:tc>
        <w:tc>
          <w:tcPr>
            <w:tcW w:type="dxa" w:w="5216"/>
          </w:tcPr>
          <w:p>
            <w:pPr>
              <w:spacing w:after="40"/>
            </w:pPr>
            <w:r/>
            <w:r>
              <w:rPr>
                <w:rFonts w:ascii="Times New Roman" w:hAnsi="Times New Roman"/>
                <w:sz w:val="21"/>
              </w:rPr>
              <w:t>Overlapping student training from month 1 ensures continuity; documentation is a graded deliverable of every phase</w:t>
            </w:r>
          </w:p>
        </w:tc>
      </w:tr>
    </w:tbl>
    <w:p>
      <w:pPr>
        <w:spacing w:after="40"/>
      </w:pPr>
    </w:p>
    <w:p>
      <w:pPr>
        <w:spacing w:before="280" w:after="120"/>
      </w:pPr>
      <w:r>
        <w:rPr>
          <w:rFonts w:ascii="Times New Roman" w:hAnsi="Times New Roman"/>
          <w:b/>
          <w:color w:val="1B3A5F"/>
          <w:sz w:val="26"/>
        </w:rPr>
        <w:t>11. Institutional Facilities and TIC Alignment</w:t>
      </w:r>
    </w:p>
    <w:p>
      <w:pPr>
        <w:spacing w:after="120"/>
      </w:pPr>
      <w:r>
        <w:rPr>
          <w:rFonts w:ascii="Times New Roman" w:hAnsi="Times New Roman"/>
          <w:b w:val="0"/>
          <w:i w:val="0"/>
          <w:color w:val="000000"/>
          <w:sz w:val="24"/>
        </w:rPr>
        <w:t>The institution will provide laboratory space within campus (per the call requirement), existing computing infrastructure, and faculty time. Access to SASTRA facilities offered under the call will be used for measurement instrumentation and for the demonstration reviews at milestones M2, M3 and M5. The project matches the TIC objective of proof-of-concept to real-world impact: it ends with working hardware, measured numbers, a medical-adjacent demonstration, and a documented path into incubation — not with a report alone.</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