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1F2937"/>
          <w:sz w:val="64"/>
          <w:szCs w:val="64"/>
        </w:rPr>
        <w:t xml:space="preserve">FusionOS</w:t>
      </w:r>
    </w:p>
    <w:p>
      <w:pPr>
        <w:spacing w:after="0" w:before="100"/>
        <w:jc w:val="center"/>
      </w:pPr>
      <w:r>
        <w:rPr>
          <w:b/>
          <w:bCs/>
          <w:color w:val="2563EB"/>
          <w:sz w:val="40"/>
          <w:szCs w:val="40"/>
        </w:rPr>
        <w:t xml:space="preserve">Competitive Benchmarking Report</w:t>
      </w:r>
    </w:p>
    <w:p>
      <w:pPr>
        <w:spacing w:after="0" w:before="200"/>
        <w:jc w:val="center"/>
      </w:pPr>
      <w:r>
        <w:rPr>
          <w:i/>
          <w:iCs/>
          <w:color w:val="4B5563"/>
          <w:sz w:val="24"/>
          <w:szCs w:val="24"/>
        </w:rPr>
        <w:t xml:space="preserve">31 ERP &amp; Business-Management Platforms vs. FusionOS's Actual Current Build</w:t>
      </w:r>
    </w:p>
    <w:p>
      <w:pPr>
        <w:spacing w:after="0" w:before="800"/>
        <w:jc w:val="center"/>
      </w:pPr>
      <w:r>
        <w:rPr>
          <w:color w:val="4B5563"/>
          <w:sz w:val="20"/>
          <w:szCs w:val="20"/>
        </w:rPr>
        <w:t xml:space="preserve">Global landscape (Tier 1 enterprise, Tier 2 mid-market, Tier 3 SMB/open-source) plus a dedicated India-market deep-dive</w:t>
      </w:r>
    </w:p>
    <w:p>
      <w:pPr>
        <w:spacing w:after="0" w:before="1600"/>
        <w:jc w:val="center"/>
      </w:pPr>
      <w:r>
        <w:rPr>
          <w:color w:val="6B7280"/>
          <w:sz w:val="20"/>
          <w:szCs w:val="20"/>
        </w:rPr>
        <w:t xml:space="preserve">Prepared: 17 July 2026</w:t>
      </w:r>
    </w:p>
    <w:p>
      <w:pPr>
        <w:spacing w:after="0" w:before="100"/>
        <w:jc w:val="center"/>
      </w:pPr>
      <w:r>
        <w:rPr>
          <w:i/>
          <w:iCs/>
          <w:color w:val="9CA3AF"/>
          <w:sz w:val="18"/>
          <w:szCs w:val="18"/>
        </w:rPr>
        <w:t xml:space="preserve">Internal strategy document - not for external distribution</w:t>
      </w:r>
    </w:p>
    <w:p>
      <w:r>
        <w:br w:type="page"/>
      </w:r>
    </w:p>
    <w:p>
      <w:pPr>
        <w:pStyle w:val="Heading1"/>
        <w:spacing w:after="200" w:before="400"/>
      </w:pPr>
      <w:r>
        <w:t xml:space="preserve">1. Executive Summary</w:t>
      </w:r>
    </w:p>
    <w:p>
      <w:pPr>
        <w:spacing w:after="160" w:line="276"/>
      </w:pPr>
      <w:r>
        <w:rPr>
          <w:sz w:val="21"/>
          <w:szCs w:val="21"/>
        </w:rPr>
        <w:t xml:space="preserve">This report benchmarks FusionOS against 31 ERP and business-management platforms researched directly from vendor sites, G2, and public filings/press releases across three tiers: global enterprise (12 products), mid-market/regional cloud (10 products), and SMB/open-source/inventory-led tools (9 products), plus a dedicated section on the India market. It is built to be read honestly against FusionOS's actual current state, not its roadmap ambitions.</w:t>
      </w:r>
    </w:p>
    <w:p>
      <w:pPr>
        <w:spacing w:after="160" w:line="276"/>
      </w:pPr>
      <w:r>
        <w:rPr>
          <w:b/>
          <w:bCs/>
        </w:rPr>
        <w:t xml:space="preserve">The single most important finding: </w:t>
      </w:r>
      <w:r>
        <w:t xml:space="preserve">every competitor in this report is a shipping, revenue-generating product. FusionOS is not yet compiled or deployed in any environment. </w:t>
      </w:r>
      <w:r>
        <w:t xml:space="preserve">The backend has never been built with a real .NET compiler in this project's working environment, no EF Core migration has ever been generated or applied, and production readiness is independently tracked at 0% verified. Source-code presence is estimated at roughly 35% of the originally planned scope. Any comparison of FusionOS's capabilities against a live competitor's must be read through that lens - this report compares planned/written depth, not operating depth.</w:t>
      </w:r>
    </w:p>
    <w:p>
      <w:pPr>
        <w:spacing w:after="160" w:line="276"/>
      </w:pPr>
      <w:r>
        <w:rPr>
          <w:sz w:val="21"/>
          <w:szCs w:val="21"/>
        </w:rPr>
        <w:t xml:space="preserve">Within that constraint, FusionOS's architectural bets - a single codebase deployable cloud or on-prem, an event-driven backbone designed for AI to consume in real time rather than via batch ETL, and a plugin/extension-point customization model intended to survive upgrades - are real structural differences from most of the market. But they are currently design decisions and partially-written code, not demonstrated advantages. The report separates these two categories explicitly in Section 10 (Defensible Differentiation vs. Marketing Over-Reach) so that internal planning doesn't conflate 'we designed it this way' with 'we have proven this works.'</w:t>
      </w:r>
    </w:p>
    <w:p>
      <w:pPr>
        <w:spacing w:after="160" w:line="276"/>
      </w:pPr>
      <w:r>
        <w:rPr>
          <w:sz w:val="21"/>
          <w:szCs w:val="21"/>
        </w:rPr>
        <w:t xml:space="preserve">On AI specifically: nearly every competitor researched has shipped or announced some AI feature in 2024-2026 (copilots, document processing, natural-language query, agentic workflows). Several of these claims are vendor marketing that outpaces the underlying product (Sage X3's own site contradicts G2's 'embedded AI' framing; several G2 AI ratings rest on samples of well under 20 reviews). FusionOS has no shipped AI feature to compare against any of them - its AI story is entirely architectural (the event backbone exists to make future AI features cheaper to build), which is a genuine but unproven advantage.</w:t>
      </w:r>
    </w:p>
    <w:p>
      <w:pPr>
        <w:spacing w:after="160" w:line="276"/>
      </w:pPr>
      <w:r>
        <w:rPr>
          <w:sz w:val="21"/>
          <w:szCs w:val="21"/>
        </w:rPr>
        <w:t xml:space="preserve">On India specifically (Section 8): the market is structurally different from the global picture. Tally/TallyPrime and Busy Accounting Software dominate SMB/GST-compliance accounting by volume; Marg ERP owns pharma/FMCG distribution; Zoho and ERPNext are India-origin players with real global reach; Ramco Systems is the one India-HQ company credibly competing in global enterprise ERP/HCM. None of these are direct architecture-for-architecture competitors to FusionOS's ambitions, but Tally/Busy's volume dominance in India SMB accounting is a market reality FusionOS would face immediately if it targeted Indian SMBs.</w:t>
      </w:r>
    </w:p>
    <w:p>
      <w:pPr>
        <w:spacing w:after="160" w:line="276"/>
      </w:pPr>
      <w:r>
        <w:rPr>
          <w:b/>
          <w:bCs/>
        </w:rPr>
        <w:t xml:space="preserve">Bottom line recommendation: </w:t>
      </w:r>
      <w:r>
        <w:t xml:space="preserve">before any further competitive-differentiation work, FusionOS needs Phase G (a real, working, compiled build with migrations applied) and continued Finance depth (Phase M8) more than it needs new competitive claims. Every claim in this report's 'must-win' column is currently aspirational until the codebase actually runs. Section 11 sequences recommendations accordingly.</w:t>
      </w:r>
    </w:p>
    <w:p>
      <w:r>
        <w:br w:type="page"/>
      </w:r>
    </w:p>
    <w:p>
      <w:pPr>
        <w:pStyle w:val="Heading1"/>
        <w:spacing w:after="200" w:before="400"/>
      </w:pPr>
      <w:r>
        <w:t xml:space="preserve">2. Methodology &amp; Sourcing Notes</w:t>
      </w:r>
    </w:p>
    <w:p>
      <w:pPr>
        <w:spacing w:after="160" w:line="276"/>
      </w:pPr>
      <w:r>
        <w:rPr>
          <w:sz w:val="21"/>
          <w:szCs w:val="21"/>
        </w:rPr>
        <w:t xml:space="preserve">Research was conducted across three parallel research passes covering global enterprise, mid-market, and SMB/open-source/inventory-focused vendors, plus India-specific players folded into the relevant tier tables and a dedicated India section. Sources were vendor websites, G2 review pages (ratings and review counts cited where sample size materially affects confidence), and public press releases/filings where available (e.g., Ramco's FY26 revenue, Acumatica's 2025 acquisition by Vista Equity Partners, Syspro's July 2026 licensing-model change).</w:t>
      </w:r>
    </w:p>
    <w:p>
      <w:pPr>
        <w:pStyle w:val="Heading2"/>
        <w:spacing w:after="150" w:before="300"/>
      </w:pPr>
      <w:r>
        <w:t xml:space="preserve">2.1 Confidence flagging convention</w:t>
      </w:r>
    </w:p>
    <w:p>
      <w:pPr>
        <w:spacing w:after="160" w:line="276"/>
      </w:pPr>
      <w:r>
        <w:rPr>
          <w:sz w:val="21"/>
          <w:szCs w:val="21"/>
        </w:rPr>
        <w:t xml:space="preserve">Throughout this report, claims are flagged inline where the evidence base is thin or contested. Three recurring flag types appear:</w:t>
      </w:r>
    </w:p>
    <w:p>
      <w:pPr>
        <w:pStyle w:val="ListParagraph"/>
        <w:numPr>
          <w:ilvl w:val="0"/>
          <w:numId w:val="1"/>
        </w:numPr>
        <w:spacing w:after="80"/>
      </w:pPr>
      <w:r>
        <w:rPr>
          <w:b/>
          <w:bCs/>
        </w:rPr>
        <w:t xml:space="preserve">Single-source / vendor-stated: </w:t>
      </w:r>
      <w:r>
        <w:t xml:space="preserve">a customer count, revenue figure, or case-study result that comes only from the vendor's own marketing, with no independent corroboration (e.g., Busy's "600,000+ businesses," Ginesys's "1,200+ customers," Fishbowl's "8% sales increase" case study).</w:t>
      </w:r>
    </w:p>
    <w:p>
      <w:pPr>
        <w:pStyle w:val="ListParagraph"/>
        <w:numPr>
          <w:ilvl w:val="0"/>
          <w:numId w:val="1"/>
        </w:numPr>
        <w:spacing w:after="80"/>
      </w:pPr>
      <w:r>
        <w:rPr>
          <w:b/>
          <w:bCs/>
        </w:rPr>
        <w:t xml:space="preserve">Small-sample rating: </w:t>
      </w:r>
      <w:r>
        <w:t xml:space="preserve">a G2 or review-site score built on a review count too small to be statistically meaningful (Marg: 6 reviews, Ginesys: 8, QAD's AI-specific claims: 17, Unleashed: 28 - contrasted with larger samples like Cin7's 336 or Fishbowl's 275).</w:t>
      </w:r>
    </w:p>
    <w:p>
      <w:pPr>
        <w:pStyle w:val="ListParagraph"/>
        <w:numPr>
          <w:ilvl w:val="0"/>
          <w:numId w:val="1"/>
        </w:numPr>
        <w:spacing w:after="80"/>
      </w:pPr>
      <w:r>
        <w:rPr>
          <w:b/>
          <w:bCs/>
        </w:rPr>
        <w:t xml:space="preserve">Marketing/reality gap: </w:t>
      </w:r>
      <w:r>
        <w:t xml:space="preserve">a case where a vendor's own site describes a feature as "illustrative" or "roadmap" while a third-party listing (G2) describes the same feature as "embedded" or shipping - the clearest example is Sage X3's AI messaging.</w:t>
      </w:r>
    </w:p>
    <w:p>
      <w:pPr>
        <w:spacing w:after="160" w:line="276"/>
      </w:pPr>
      <w:r>
        <w:rPr>
          <w:sz w:val="21"/>
          <w:szCs w:val="21"/>
        </w:rPr>
        <w:t xml:space="preserve">Two vendor websites (Marg ERP) were unreachable during this research pass; those profiles rely solely on G2 and third-party mentions and are flagged as the weakest source base of the 31 products covered. Search engines including Bing, DuckDuckGo, Mojeek, and Ecosia were CAPTCHA-gated during part of the research and direct vendor/G2 fetches were used instead - this does not affect the reliability of what was found, only the breadth of cross-checking possible for a handful of claims (noted individually above).</w:t>
      </w:r>
    </w:p>
    <w:p>
      <w:pPr>
        <w:pStyle w:val="Heading2"/>
        <w:spacing w:after="150" w:before="300"/>
      </w:pPr>
      <w:r>
        <w:t xml:space="preserve">2.2 What this report deliberately does not do</w:t>
      </w:r>
    </w:p>
    <w:p>
      <w:pPr>
        <w:spacing w:after="160" w:line="276"/>
      </w:pPr>
      <w:r>
        <w:rPr>
          <w:sz w:val="21"/>
          <w:szCs w:val="21"/>
        </w:rPr>
        <w:t xml:space="preserve">This report does not attempt a feature-by-feature parity checklist (e.g., "does Product X have a bank-rec module: yes/no") because that framing rewards whichever vendor's marketing copy is most complete rather than what is actually implemented and running. Instead it compares architecture, deployment model, AI maturity (shipped vs. announced vs. roadmap), pricing model, and target segment - the dimensions that determine who FusionOS is actually competing against, and for what buyer.</w:t>
      </w:r>
    </w:p>
    <w:p>
      <w:pPr>
        <w:pStyle w:val="Heading1"/>
        <w:spacing w:after="200" w:before="400"/>
      </w:pPr>
      <w:r>
        <w:t xml:space="preserve">3. Tier 1: Global Enterprise ERP (12 products)</w:t>
      </w:r>
    </w:p>
    <w:p>
      <w:pPr>
        <w:spacing w:after="160" w:line="276"/>
      </w:pPr>
      <w:r>
        <w:rPr>
          <w:sz w:val="21"/>
          <w:szCs w:val="21"/>
        </w:rPr>
        <w:t xml:space="preserve">Enterprise-tier vendors serving large, complex organizations, typically with implementation timelines measured in months to years and heavy consultant dependency.</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900"/>
        <w:gridCol w:w="2000"/>
        <w:gridCol w:w="2100"/>
        <w:gridCol w:w="1600"/>
      </w:tblGrid>
      <w:tr>
        <w:trPr>
          <w:tblHeader/>
        </w:trPr>
        <w:tc>
          <w:tcPr>
            <w:tcW w:type="dxa" w:w="1500"/>
            <w:shd w:fill="1F2937" w:val="clear"/>
            <w:tcMar>
              <w:top w:type="dxa" w:w="60"/>
              <w:left w:type="dxa" w:w="100"/>
              <w:bottom w:type="dxa" w:w="60"/>
              <w:right w:type="dxa" w:w="100"/>
            </w:tcMar>
            <w:vAlign w:val="center"/>
          </w:tcPr>
          <w:p>
            <w:r>
              <w:rPr>
                <w:b/>
                <w:bCs/>
                <w:color w:val="FFFFFF"/>
                <w:sz w:val="17"/>
                <w:szCs w:val="17"/>
              </w:rPr>
              <w:t xml:space="preserve">Product</w:t>
            </w:r>
          </w:p>
        </w:tc>
        <w:tc>
          <w:tcPr>
            <w:tcW w:type="dxa" w:w="1400"/>
            <w:shd w:fill="1F2937" w:val="clear"/>
            <w:tcMar>
              <w:top w:type="dxa" w:w="60"/>
              <w:left w:type="dxa" w:w="100"/>
              <w:bottom w:type="dxa" w:w="60"/>
              <w:right w:type="dxa" w:w="100"/>
            </w:tcMar>
            <w:vAlign w:val="center"/>
          </w:tcPr>
          <w:p>
            <w:r>
              <w:rPr>
                <w:b/>
                <w:bCs/>
                <w:color w:val="FFFFFF"/>
                <w:sz w:val="17"/>
                <w:szCs w:val="17"/>
              </w:rPr>
              <w:t xml:space="preserve">Vendor</w:t>
            </w:r>
          </w:p>
        </w:tc>
        <w:tc>
          <w:tcPr>
            <w:tcW w:type="dxa" w:w="1900"/>
            <w:shd w:fill="1F2937" w:val="clear"/>
            <w:tcMar>
              <w:top w:type="dxa" w:w="60"/>
              <w:left w:type="dxa" w:w="100"/>
              <w:bottom w:type="dxa" w:w="60"/>
              <w:right w:type="dxa" w:w="100"/>
            </w:tcMar>
            <w:vAlign w:val="center"/>
          </w:tcPr>
          <w:p>
            <w:r>
              <w:rPr>
                <w:b/>
                <w:bCs/>
                <w:color w:val="FFFFFF"/>
                <w:sz w:val="17"/>
                <w:szCs w:val="17"/>
              </w:rPr>
              <w:t xml:space="preserve">Target / Deployment</w:t>
            </w:r>
          </w:p>
        </w:tc>
        <w:tc>
          <w:tcPr>
            <w:tcW w:type="dxa" w:w="2000"/>
            <w:shd w:fill="1F2937" w:val="clear"/>
            <w:tcMar>
              <w:top w:type="dxa" w:w="60"/>
              <w:left w:type="dxa" w:w="100"/>
              <w:bottom w:type="dxa" w:w="60"/>
              <w:right w:type="dxa" w:w="100"/>
            </w:tcMar>
            <w:vAlign w:val="center"/>
          </w:tcPr>
          <w:p>
            <w:r>
              <w:rPr>
                <w:b/>
                <w:bCs/>
                <w:color w:val="FFFFFF"/>
                <w:sz w:val="17"/>
                <w:szCs w:val="17"/>
              </w:rPr>
              <w:t xml:space="preserve">2024-26 AI Move</w:t>
            </w:r>
          </w:p>
        </w:tc>
        <w:tc>
          <w:tcPr>
            <w:tcW w:type="dxa" w:w="2100"/>
            <w:shd w:fill="1F2937" w:val="clear"/>
            <w:tcMar>
              <w:top w:type="dxa" w:w="60"/>
              <w:left w:type="dxa" w:w="100"/>
              <w:bottom w:type="dxa" w:w="60"/>
              <w:right w:type="dxa" w:w="100"/>
            </w:tcMar>
            <w:vAlign w:val="center"/>
          </w:tcPr>
          <w:p>
            <w:r>
              <w:rPr>
                <w:b/>
                <w:bCs/>
                <w:color w:val="FFFFFF"/>
                <w:sz w:val="17"/>
                <w:szCs w:val="17"/>
              </w:rPr>
              <w:t xml:space="preserve">Strength / Weakness</w:t>
            </w:r>
          </w:p>
        </w:tc>
        <w:tc>
          <w:tcPr>
            <w:tcW w:type="dxa" w:w="1600"/>
            <w:shd w:fill="1F2937" w:val="clear"/>
            <w:tcMar>
              <w:top w:type="dxa" w:w="60"/>
              <w:left w:type="dxa" w:w="100"/>
              <w:bottom w:type="dxa" w:w="60"/>
              <w:right w:type="dxa" w:w="100"/>
            </w:tcMar>
            <w:vAlign w:val="center"/>
          </w:tcPr>
          <w:p>
            <w:r>
              <w:rPr>
                <w:b/>
                <w:bCs/>
                <w:color w:val="FFFFFF"/>
                <w:sz w:val="17"/>
                <w:szCs w:val="17"/>
              </w:rPr>
              <w:t xml:space="preserve">Notes</w:t>
            </w:r>
          </w:p>
        </w:tc>
      </w:tr>
      <w:tr>
        <w:tc>
          <w:tcPr>
            <w:tcW w:type="dxa" w:w="1500"/>
            <w:shd w:fill="FFFFFF" w:val="clear"/>
            <w:tcMar>
              <w:top w:type="dxa" w:w="60"/>
              <w:left w:type="dxa" w:w="100"/>
              <w:bottom w:type="dxa" w:w="60"/>
              <w:right w:type="dxa" w:w="100"/>
            </w:tcMar>
            <w:vAlign w:val="center"/>
          </w:tcPr>
          <w:p>
            <w:r>
              <w:rPr>
                <w:b w:val="false"/>
                <w:bCs w:val="false"/>
                <w:sz w:val="16"/>
                <w:szCs w:val="16"/>
              </w:rPr>
              <w:t xml:space="preserve">SAP S/4HANA</w:t>
            </w:r>
          </w:p>
        </w:tc>
        <w:tc>
          <w:tcPr>
            <w:tcW w:type="dxa" w:w="1400"/>
            <w:shd w:fill="FFFFFF" w:val="clear"/>
            <w:tcMar>
              <w:top w:type="dxa" w:w="60"/>
              <w:left w:type="dxa" w:w="100"/>
              <w:bottom w:type="dxa" w:w="60"/>
              <w:right w:type="dxa" w:w="100"/>
            </w:tcMar>
            <w:vAlign w:val="center"/>
          </w:tcPr>
          <w:p>
            <w:r>
              <w:rPr>
                <w:b w:val="false"/>
                <w:bCs w:val="false"/>
                <w:sz w:val="16"/>
                <w:szCs w:val="16"/>
              </w:rPr>
              <w:t xml:space="preserve">SAP</w:t>
            </w:r>
          </w:p>
        </w:tc>
        <w:tc>
          <w:tcPr>
            <w:tcW w:type="dxa" w:w="1900"/>
            <w:shd w:fill="FFFFFF" w:val="clear"/>
            <w:tcMar>
              <w:top w:type="dxa" w:w="60"/>
              <w:left w:type="dxa" w:w="100"/>
              <w:bottom w:type="dxa" w:w="60"/>
              <w:right w:type="dxa" w:w="100"/>
            </w:tcMar>
            <w:vAlign w:val="center"/>
          </w:tcPr>
          <w:p>
            <w:r>
              <w:rPr>
                <w:b w:val="false"/>
                <w:bCs w:val="false"/>
                <w:sz w:val="16"/>
                <w:szCs w:val="16"/>
              </w:rPr>
              <w:t xml:space="preserve">Large enterprise; cloud or on-prem, dual product lines</w:t>
            </w:r>
          </w:p>
        </w:tc>
        <w:tc>
          <w:tcPr>
            <w:tcW w:type="dxa" w:w="2000"/>
            <w:shd w:fill="FFFFFF" w:val="clear"/>
            <w:tcMar>
              <w:top w:type="dxa" w:w="60"/>
              <w:left w:type="dxa" w:w="100"/>
              <w:bottom w:type="dxa" w:w="60"/>
              <w:right w:type="dxa" w:w="100"/>
            </w:tcMar>
            <w:vAlign w:val="center"/>
          </w:tcPr>
          <w:p>
            <w:r>
              <w:rPr>
                <w:b w:val="false"/>
                <w:bCs w:val="false"/>
                <w:sz w:val="16"/>
                <w:szCs w:val="16"/>
              </w:rPr>
              <w:t xml:space="preserve">Joule copilot GA in Cloud Public Edition 2502 (Jan 2025)</w:t>
            </w:r>
          </w:p>
        </w:tc>
        <w:tc>
          <w:tcPr>
            <w:tcW w:type="dxa" w:w="2100"/>
            <w:shd w:fill="FFFFFF" w:val="clear"/>
            <w:tcMar>
              <w:top w:type="dxa" w:w="60"/>
              <w:left w:type="dxa" w:w="100"/>
              <w:bottom w:type="dxa" w:w="60"/>
              <w:right w:type="dxa" w:w="100"/>
            </w:tcMar>
            <w:vAlign w:val="center"/>
          </w:tcPr>
          <w:p>
            <w:r>
              <w:rPr>
                <w:b w:val="false"/>
                <w:bCs w:val="false"/>
                <w:sz w:val="16"/>
                <w:szCs w:val="16"/>
              </w:rPr>
              <w:t xml:space="preserve">Deepest manufacturing/regulatory depth. Legacy ABAP customization is upgrade-fragile</w:t>
            </w:r>
          </w:p>
        </w:tc>
        <w:tc>
          <w:tcPr>
            <w:tcW w:type="dxa" w:w="1600"/>
            <w:shd w:fill="FFFFFF" w:val="clear"/>
            <w:tcMar>
              <w:top w:type="dxa" w:w="60"/>
              <w:left w:type="dxa" w:w="100"/>
              <w:bottom w:type="dxa" w:w="60"/>
              <w:right w:type="dxa" w:w="100"/>
            </w:tcMar>
            <w:vAlign w:val="center"/>
          </w:tcPr>
          <w:p>
            <w:r>
              <w:rPr>
                <w:b w:val="false"/>
                <w:bCs w:val="false"/>
                <w:sz w:val="16"/>
                <w:szCs w:val="16"/>
              </w:rPr>
              <w:t xml:space="preserve">Implementations still 6-18+ months, consultant-heavy</w:t>
            </w:r>
          </w:p>
        </w:tc>
      </w:tr>
      <w:tr>
        <w:tc>
          <w:tcPr>
            <w:tcW w:type="dxa" w:w="1500"/>
            <w:shd w:fill="F3F4F6" w:val="clear"/>
            <w:tcMar>
              <w:top w:type="dxa" w:w="60"/>
              <w:left w:type="dxa" w:w="100"/>
              <w:bottom w:type="dxa" w:w="60"/>
              <w:right w:type="dxa" w:w="100"/>
            </w:tcMar>
            <w:vAlign w:val="center"/>
          </w:tcPr>
          <w:p>
            <w:r>
              <w:rPr>
                <w:b w:val="false"/>
                <w:bCs w:val="false"/>
                <w:sz w:val="16"/>
                <w:szCs w:val="16"/>
              </w:rPr>
              <w:t xml:space="preserve">SAP Business One</w:t>
            </w:r>
          </w:p>
        </w:tc>
        <w:tc>
          <w:tcPr>
            <w:tcW w:type="dxa" w:w="1400"/>
            <w:shd w:fill="F3F4F6" w:val="clear"/>
            <w:tcMar>
              <w:top w:type="dxa" w:w="60"/>
              <w:left w:type="dxa" w:w="100"/>
              <w:bottom w:type="dxa" w:w="60"/>
              <w:right w:type="dxa" w:w="100"/>
            </w:tcMar>
            <w:vAlign w:val="center"/>
          </w:tcPr>
          <w:p>
            <w:r>
              <w:rPr>
                <w:b w:val="false"/>
                <w:bCs w:val="false"/>
                <w:sz w:val="16"/>
                <w:szCs w:val="16"/>
              </w:rPr>
              <w:t xml:space="preserve">SAP</w:t>
            </w:r>
          </w:p>
        </w:tc>
        <w:tc>
          <w:tcPr>
            <w:tcW w:type="dxa" w:w="1900"/>
            <w:shd w:fill="F3F4F6" w:val="clear"/>
            <w:tcMar>
              <w:top w:type="dxa" w:w="60"/>
              <w:left w:type="dxa" w:w="100"/>
              <w:bottom w:type="dxa" w:w="60"/>
              <w:right w:type="dxa" w:w="100"/>
            </w:tcMar>
            <w:vAlign w:val="center"/>
          </w:tcPr>
          <w:p>
            <w:r>
              <w:rPr>
                <w:b w:val="false"/>
                <w:bCs w:val="false"/>
                <w:sz w:val="16"/>
                <w:szCs w:val="16"/>
              </w:rPr>
              <w:t xml:space="preserve">SMB/lower mid-market; on-prem or cloud</w:t>
            </w:r>
          </w:p>
        </w:tc>
        <w:tc>
          <w:tcPr>
            <w:tcW w:type="dxa" w:w="2000"/>
            <w:shd w:fill="F3F4F6" w:val="clear"/>
            <w:tcMar>
              <w:top w:type="dxa" w:w="60"/>
              <w:left w:type="dxa" w:w="100"/>
              <w:bottom w:type="dxa" w:w="60"/>
              <w:right w:type="dxa" w:w="100"/>
            </w:tcMar>
            <w:vAlign w:val="center"/>
          </w:tcPr>
          <w:p>
            <w:r>
              <w:rPr>
                <w:b w:val="false"/>
                <w:bCs w:val="false"/>
                <w:sz w:val="16"/>
                <w:szCs w:val="16"/>
              </w:rPr>
              <w:t xml:space="preserve">Joule rolling into B1 roadmap, behind S/4HANA</w:t>
            </w:r>
          </w:p>
        </w:tc>
        <w:tc>
          <w:tcPr>
            <w:tcW w:type="dxa" w:w="2100"/>
            <w:shd w:fill="F3F4F6" w:val="clear"/>
            <w:tcMar>
              <w:top w:type="dxa" w:w="60"/>
              <w:left w:type="dxa" w:w="100"/>
              <w:bottom w:type="dxa" w:w="60"/>
              <w:right w:type="dxa" w:w="100"/>
            </w:tcMar>
            <w:vAlign w:val="center"/>
          </w:tcPr>
          <w:p>
            <w:r>
              <w:rPr>
                <w:b w:val="false"/>
                <w:bCs w:val="false"/>
                <w:sz w:val="16"/>
                <w:szCs w:val="16"/>
              </w:rPr>
              <w:t xml:space="preserve">Mature SMB ecosystem via VARs. Dated UI vs. modern SaaS</w:t>
            </w:r>
          </w:p>
        </w:tc>
        <w:tc>
          <w:tcPr>
            <w:tcW w:type="dxa" w:w="1600"/>
            <w:shd w:fill="F3F4F6" w:val="clear"/>
            <w:tcMar>
              <w:top w:type="dxa" w:w="60"/>
              <w:left w:type="dxa" w:w="100"/>
              <w:bottom w:type="dxa" w:w="60"/>
              <w:right w:type="dxa" w:w="100"/>
            </w:tcMar>
            <w:vAlign w:val="center"/>
          </w:tcPr>
          <w:p>
            <w:r>
              <w:rPr>
                <w:b w:val="false"/>
                <w:bCs w:val="false"/>
                <w:sz w:val="16"/>
                <w:szCs w:val="16"/>
              </w:rPr>
              <w:t xml:space="preserve">Separate codebase from S/4HANA - SAP itself splits by segment</w:t>
            </w:r>
          </w:p>
        </w:tc>
      </w:tr>
      <w:tr>
        <w:tc>
          <w:tcPr>
            <w:tcW w:type="dxa" w:w="1500"/>
            <w:shd w:fill="FFFFFF" w:val="clear"/>
            <w:tcMar>
              <w:top w:type="dxa" w:w="60"/>
              <w:left w:type="dxa" w:w="100"/>
              <w:bottom w:type="dxa" w:w="60"/>
              <w:right w:type="dxa" w:w="100"/>
            </w:tcMar>
            <w:vAlign w:val="center"/>
          </w:tcPr>
          <w:p>
            <w:r>
              <w:rPr>
                <w:b w:val="false"/>
                <w:bCs w:val="false"/>
                <w:sz w:val="16"/>
                <w:szCs w:val="16"/>
              </w:rPr>
              <w:t xml:space="preserve">Oracle NetSuite</w:t>
            </w:r>
          </w:p>
        </w:tc>
        <w:tc>
          <w:tcPr>
            <w:tcW w:type="dxa" w:w="1400"/>
            <w:shd w:fill="FFFFFF" w:val="clear"/>
            <w:tcMar>
              <w:top w:type="dxa" w:w="60"/>
              <w:left w:type="dxa" w:w="100"/>
              <w:bottom w:type="dxa" w:w="60"/>
              <w:right w:type="dxa" w:w="100"/>
            </w:tcMar>
            <w:vAlign w:val="center"/>
          </w:tcPr>
          <w:p>
            <w:r>
              <w:rPr>
                <w:b w:val="false"/>
                <w:bCs w:val="false"/>
                <w:sz w:val="16"/>
                <w:szCs w:val="16"/>
              </w:rPr>
              <w:t xml:space="preserve">Oracle</w:t>
            </w:r>
          </w:p>
        </w:tc>
        <w:tc>
          <w:tcPr>
            <w:tcW w:type="dxa" w:w="1900"/>
            <w:shd w:fill="FFFFFF" w:val="clear"/>
            <w:tcMar>
              <w:top w:type="dxa" w:w="60"/>
              <w:left w:type="dxa" w:w="100"/>
              <w:bottom w:type="dxa" w:w="60"/>
              <w:right w:type="dxa" w:w="100"/>
            </w:tcMar>
            <w:vAlign w:val="center"/>
          </w:tcPr>
          <w:p>
            <w:r>
              <w:rPr>
                <w:b w:val="false"/>
                <w:bCs w:val="false"/>
                <w:sz w:val="16"/>
                <w:szCs w:val="16"/>
              </w:rPr>
              <w:t xml:space="preserve">Fast-growing mid-market, cloud-native</w:t>
            </w:r>
          </w:p>
        </w:tc>
        <w:tc>
          <w:tcPr>
            <w:tcW w:type="dxa" w:w="2000"/>
            <w:shd w:fill="FFFFFF" w:val="clear"/>
            <w:tcMar>
              <w:top w:type="dxa" w:w="60"/>
              <w:left w:type="dxa" w:w="100"/>
              <w:bottom w:type="dxa" w:w="60"/>
              <w:right w:type="dxa" w:w="100"/>
            </w:tcMar>
            <w:vAlign w:val="center"/>
          </w:tcPr>
          <w:p>
            <w:r>
              <w:rPr>
                <w:b w:val="false"/>
                <w:bCs w:val="false"/>
                <w:sz w:val="16"/>
                <w:szCs w:val="16"/>
              </w:rPr>
              <w:t xml:space="preserve">"NetSuite Next" AI layer unveiled SuiteWorld Oct 2025</w:t>
            </w:r>
          </w:p>
        </w:tc>
        <w:tc>
          <w:tcPr>
            <w:tcW w:type="dxa" w:w="2100"/>
            <w:shd w:fill="FFFFFF" w:val="clear"/>
            <w:tcMar>
              <w:top w:type="dxa" w:w="60"/>
              <w:left w:type="dxa" w:w="100"/>
              <w:bottom w:type="dxa" w:w="60"/>
              <w:right w:type="dxa" w:w="100"/>
            </w:tcMar>
            <w:vAlign w:val="center"/>
          </w:tcPr>
          <w:p>
            <w:r>
              <w:rPr>
                <w:b w:val="false"/>
                <w:bCs w:val="false"/>
                <w:sz w:val="16"/>
                <w:szCs w:val="16"/>
              </w:rPr>
              <w:t xml:space="preserve">Best-in-class for cloud-native scaling companies. SuiteScript customization carries real upgrade risk</w:t>
            </w:r>
          </w:p>
        </w:tc>
        <w:tc>
          <w:tcPr>
            <w:tcW w:type="dxa" w:w="1600"/>
            <w:shd w:fill="FFFFFF" w:val="clear"/>
            <w:tcMar>
              <w:top w:type="dxa" w:w="60"/>
              <w:left w:type="dxa" w:w="100"/>
              <w:bottom w:type="dxa" w:w="60"/>
              <w:right w:type="dxa" w:w="100"/>
            </w:tcMar>
            <w:vAlign w:val="center"/>
          </w:tcPr>
          <w:p>
            <w:r>
              <w:rPr>
                <w:b w:val="false"/>
                <w:bCs w:val="false"/>
                <w:sz w:val="16"/>
                <w:szCs w:val="16"/>
              </w:rPr>
              <w:t xml:space="preserve">Most direct near-term competitor for FusionOS's mid-market wedge</w:t>
            </w:r>
          </w:p>
        </w:tc>
      </w:tr>
      <w:tr>
        <w:tc>
          <w:tcPr>
            <w:tcW w:type="dxa" w:w="1500"/>
            <w:shd w:fill="F3F4F6" w:val="clear"/>
            <w:tcMar>
              <w:top w:type="dxa" w:w="60"/>
              <w:left w:type="dxa" w:w="100"/>
              <w:bottom w:type="dxa" w:w="60"/>
              <w:right w:type="dxa" w:w="100"/>
            </w:tcMar>
            <w:vAlign w:val="center"/>
          </w:tcPr>
          <w:p>
            <w:r>
              <w:rPr>
                <w:b w:val="false"/>
                <w:bCs w:val="false"/>
                <w:sz w:val="16"/>
                <w:szCs w:val="16"/>
              </w:rPr>
              <w:t xml:space="preserve">Oracle Fusion Cloud ERP</w:t>
            </w:r>
          </w:p>
        </w:tc>
        <w:tc>
          <w:tcPr>
            <w:tcW w:type="dxa" w:w="1400"/>
            <w:shd w:fill="F3F4F6" w:val="clear"/>
            <w:tcMar>
              <w:top w:type="dxa" w:w="60"/>
              <w:left w:type="dxa" w:w="100"/>
              <w:bottom w:type="dxa" w:w="60"/>
              <w:right w:type="dxa" w:w="100"/>
            </w:tcMar>
            <w:vAlign w:val="center"/>
          </w:tcPr>
          <w:p>
            <w:r>
              <w:rPr>
                <w:b w:val="false"/>
                <w:bCs w:val="false"/>
                <w:sz w:val="16"/>
                <w:szCs w:val="16"/>
              </w:rPr>
              <w:t xml:space="preserve">Oracle</w:t>
            </w:r>
          </w:p>
        </w:tc>
        <w:tc>
          <w:tcPr>
            <w:tcW w:type="dxa" w:w="1900"/>
            <w:shd w:fill="F3F4F6" w:val="clear"/>
            <w:tcMar>
              <w:top w:type="dxa" w:w="60"/>
              <w:left w:type="dxa" w:w="100"/>
              <w:bottom w:type="dxa" w:w="60"/>
              <w:right w:type="dxa" w:w="100"/>
            </w:tcMar>
            <w:vAlign w:val="center"/>
          </w:tcPr>
          <w:p>
            <w:r>
              <w:rPr>
                <w:b w:val="false"/>
                <w:bCs w:val="false"/>
                <w:sz w:val="16"/>
                <w:szCs w:val="16"/>
              </w:rPr>
              <w:t xml:space="preserve">Large enterprise; cloud, hybrid options</w:t>
            </w:r>
          </w:p>
        </w:tc>
        <w:tc>
          <w:tcPr>
            <w:tcW w:type="dxa" w:w="2000"/>
            <w:shd w:fill="F3F4F6" w:val="clear"/>
            <w:tcMar>
              <w:top w:type="dxa" w:w="60"/>
              <w:left w:type="dxa" w:w="100"/>
              <w:bottom w:type="dxa" w:w="60"/>
              <w:right w:type="dxa" w:w="100"/>
            </w:tcMar>
            <w:vAlign w:val="center"/>
          </w:tcPr>
          <w:p>
            <w:r>
              <w:rPr>
                <w:b w:val="false"/>
                <w:bCs w:val="false"/>
                <w:sz w:val="16"/>
                <w:szCs w:val="16"/>
              </w:rPr>
              <w:t xml:space="preserve">Oracle Fusion AI agents (claims not independently re-verified)</w:t>
            </w:r>
          </w:p>
        </w:tc>
        <w:tc>
          <w:tcPr>
            <w:tcW w:type="dxa" w:w="2100"/>
            <w:shd w:fill="F3F4F6" w:val="clear"/>
            <w:tcMar>
              <w:top w:type="dxa" w:w="60"/>
              <w:left w:type="dxa" w:w="100"/>
              <w:bottom w:type="dxa" w:w="60"/>
              <w:right w:type="dxa" w:w="100"/>
            </w:tcMar>
            <w:vAlign w:val="center"/>
          </w:tcPr>
          <w:p>
            <w:r>
              <w:rPr>
                <w:b w:val="false"/>
                <w:bCs w:val="false"/>
                <w:sz w:val="16"/>
                <w:szCs w:val="16"/>
              </w:rPr>
              <w:t xml:space="preserve">Strong finance/HCM breadth. Complex, consultant-dependent config</w:t>
            </w:r>
          </w:p>
        </w:tc>
        <w:tc>
          <w:tcPr>
            <w:tcW w:type="dxa" w:w="1600"/>
            <w:shd w:fill="F3F4F6" w:val="clear"/>
            <w:tcMar>
              <w:top w:type="dxa" w:w="60"/>
              <w:left w:type="dxa" w:w="100"/>
              <w:bottom w:type="dxa" w:w="60"/>
              <w:right w:type="dxa" w:w="100"/>
            </w:tcMar>
            <w:vAlign w:val="center"/>
          </w:tcPr>
          <w:p>
            <w:r>
              <w:rPr>
                <w:b w:val="false"/>
                <w:bCs w:val="false"/>
                <w:sz w:val="16"/>
                <w:szCs w:val="16"/>
              </w:rPr>
              <w:t xml:space="preserve">AI agent claims sourced from vendor/G2 taxonomy, flagged low-confidence</w:t>
            </w:r>
          </w:p>
        </w:tc>
      </w:tr>
      <w:tr>
        <w:tc>
          <w:tcPr>
            <w:tcW w:type="dxa" w:w="1500"/>
            <w:shd w:fill="FFFFFF" w:val="clear"/>
            <w:tcMar>
              <w:top w:type="dxa" w:w="60"/>
              <w:left w:type="dxa" w:w="100"/>
              <w:bottom w:type="dxa" w:w="60"/>
              <w:right w:type="dxa" w:w="100"/>
            </w:tcMar>
            <w:vAlign w:val="center"/>
          </w:tcPr>
          <w:p>
            <w:r>
              <w:rPr>
                <w:b w:val="false"/>
                <w:bCs w:val="false"/>
                <w:sz w:val="16"/>
                <w:szCs w:val="16"/>
              </w:rPr>
              <w:t xml:space="preserve">Microsoft Dynamics 365 F&amp;SCM</w:t>
            </w:r>
          </w:p>
        </w:tc>
        <w:tc>
          <w:tcPr>
            <w:tcW w:type="dxa" w:w="1400"/>
            <w:shd w:fill="FFFFFF" w:val="clear"/>
            <w:tcMar>
              <w:top w:type="dxa" w:w="60"/>
              <w:left w:type="dxa" w:w="100"/>
              <w:bottom w:type="dxa" w:w="60"/>
              <w:right w:type="dxa" w:w="100"/>
            </w:tcMar>
            <w:vAlign w:val="center"/>
          </w:tcPr>
          <w:p>
            <w:r>
              <w:rPr>
                <w:b w:val="false"/>
                <w:bCs w:val="false"/>
                <w:sz w:val="16"/>
                <w:szCs w:val="16"/>
              </w:rPr>
              <w:t xml:space="preserve">Microsoft</w:t>
            </w:r>
          </w:p>
        </w:tc>
        <w:tc>
          <w:tcPr>
            <w:tcW w:type="dxa" w:w="1900"/>
            <w:shd w:fill="FFFFFF" w:val="clear"/>
            <w:tcMar>
              <w:top w:type="dxa" w:w="60"/>
              <w:left w:type="dxa" w:w="100"/>
              <w:bottom w:type="dxa" w:w="60"/>
              <w:right w:type="dxa" w:w="100"/>
            </w:tcMar>
            <w:vAlign w:val="center"/>
          </w:tcPr>
          <w:p>
            <w:r>
              <w:rPr>
                <w:b w:val="false"/>
                <w:bCs w:val="false"/>
                <w:sz w:val="16"/>
                <w:szCs w:val="16"/>
              </w:rPr>
              <w:t xml:space="preserve">Large enterprise; cloud-first, on-prem variant exists</w:t>
            </w:r>
          </w:p>
        </w:tc>
        <w:tc>
          <w:tcPr>
            <w:tcW w:type="dxa" w:w="2000"/>
            <w:shd w:fill="FFFFFF" w:val="clear"/>
            <w:tcMar>
              <w:top w:type="dxa" w:w="60"/>
              <w:left w:type="dxa" w:w="100"/>
              <w:bottom w:type="dxa" w:w="60"/>
              <w:right w:type="dxa" w:w="100"/>
            </w:tcMar>
            <w:vAlign w:val="center"/>
          </w:tcPr>
          <w:p>
            <w:r>
              <w:rPr>
                <w:b w:val="false"/>
                <w:bCs w:val="false"/>
                <w:sz w:val="16"/>
                <w:szCs w:val="16"/>
              </w:rPr>
              <w:t xml:space="preserve">Copilot embedded across F&amp;SCM; agentic AI claims per G2 taxonomy, not cross-checked vs. MS release notes</w:t>
            </w:r>
          </w:p>
        </w:tc>
        <w:tc>
          <w:tcPr>
            <w:tcW w:type="dxa" w:w="2100"/>
            <w:shd w:fill="FFFFFF" w:val="clear"/>
            <w:tcMar>
              <w:top w:type="dxa" w:w="60"/>
              <w:left w:type="dxa" w:w="100"/>
              <w:bottom w:type="dxa" w:w="60"/>
              <w:right w:type="dxa" w:w="100"/>
            </w:tcMar>
            <w:vAlign w:val="center"/>
          </w:tcPr>
          <w:p>
            <w:r>
              <w:rPr>
                <w:b w:val="false"/>
                <w:bCs w:val="false"/>
                <w:sz w:val="16"/>
                <w:szCs w:val="16"/>
              </w:rPr>
              <w:t xml:space="preserve">Deep Microsoft ecosystem integration (Teams/Power BI/Office). Real switching cost is also a lock-in for customers</w:t>
            </w:r>
          </w:p>
        </w:tc>
        <w:tc>
          <w:tcPr>
            <w:tcW w:type="dxa" w:w="1600"/>
            <w:shd w:fill="FFFFFF" w:val="clear"/>
            <w:tcMar>
              <w:top w:type="dxa" w:w="60"/>
              <w:left w:type="dxa" w:w="100"/>
              <w:bottom w:type="dxa" w:w="60"/>
              <w:right w:type="dxa" w:w="100"/>
            </w:tcMar>
            <w:vAlign w:val="center"/>
          </w:tcPr>
          <w:p>
            <w:r>
              <w:rPr>
                <w:b w:val="false"/>
                <w:bCs w:val="false"/>
                <w:sz w:val="16"/>
                <w:szCs w:val="16"/>
              </w:rPr>
              <w:t xml:space="preserve">Ecosystem integration is the moat, not architecture</w:t>
            </w:r>
          </w:p>
        </w:tc>
      </w:tr>
      <w:tr>
        <w:tc>
          <w:tcPr>
            <w:tcW w:type="dxa" w:w="1500"/>
            <w:shd w:fill="F3F4F6" w:val="clear"/>
            <w:tcMar>
              <w:top w:type="dxa" w:w="60"/>
              <w:left w:type="dxa" w:w="100"/>
              <w:bottom w:type="dxa" w:w="60"/>
              <w:right w:type="dxa" w:w="100"/>
            </w:tcMar>
            <w:vAlign w:val="center"/>
          </w:tcPr>
          <w:p>
            <w:r>
              <w:rPr>
                <w:b w:val="false"/>
                <w:bCs w:val="false"/>
                <w:sz w:val="16"/>
                <w:szCs w:val="16"/>
              </w:rPr>
              <w:t xml:space="preserve">Workday Financial Management</w:t>
            </w:r>
          </w:p>
        </w:tc>
        <w:tc>
          <w:tcPr>
            <w:tcW w:type="dxa" w:w="1400"/>
            <w:shd w:fill="F3F4F6" w:val="clear"/>
            <w:tcMar>
              <w:top w:type="dxa" w:w="60"/>
              <w:left w:type="dxa" w:w="100"/>
              <w:bottom w:type="dxa" w:w="60"/>
              <w:right w:type="dxa" w:w="100"/>
            </w:tcMar>
            <w:vAlign w:val="center"/>
          </w:tcPr>
          <w:p>
            <w:r>
              <w:rPr>
                <w:b w:val="false"/>
                <w:bCs w:val="false"/>
                <w:sz w:val="16"/>
                <w:szCs w:val="16"/>
              </w:rPr>
              <w:t xml:space="preserve">Workday</w:t>
            </w:r>
          </w:p>
        </w:tc>
        <w:tc>
          <w:tcPr>
            <w:tcW w:type="dxa" w:w="1900"/>
            <w:shd w:fill="F3F4F6" w:val="clear"/>
            <w:tcMar>
              <w:top w:type="dxa" w:w="60"/>
              <w:left w:type="dxa" w:w="100"/>
              <w:bottom w:type="dxa" w:w="60"/>
              <w:right w:type="dxa" w:w="100"/>
            </w:tcMar>
            <w:vAlign w:val="center"/>
          </w:tcPr>
          <w:p>
            <w:r>
              <w:rPr>
                <w:b w:val="false"/>
                <w:bCs w:val="false"/>
                <w:sz w:val="16"/>
                <w:szCs w:val="16"/>
              </w:rPr>
              <w:t xml:space="preserve">Large enterprise, finance/HCM-led</w:t>
            </w:r>
          </w:p>
        </w:tc>
        <w:tc>
          <w:tcPr>
            <w:tcW w:type="dxa" w:w="2000"/>
            <w:shd w:fill="F3F4F6" w:val="clear"/>
            <w:tcMar>
              <w:top w:type="dxa" w:w="60"/>
              <w:left w:type="dxa" w:w="100"/>
              <w:bottom w:type="dxa" w:w="60"/>
              <w:right w:type="dxa" w:w="100"/>
            </w:tcMar>
            <w:vAlign w:val="center"/>
          </w:tcPr>
          <w:p>
            <w:r>
              <w:rPr>
                <w:b w:val="false"/>
                <w:bCs w:val="false"/>
                <w:sz w:val="16"/>
                <w:szCs w:val="16"/>
              </w:rPr>
              <w:t xml:space="preserve">Workday AI/Illuminate agents marketed heavily</w:t>
            </w:r>
          </w:p>
        </w:tc>
        <w:tc>
          <w:tcPr>
            <w:tcW w:type="dxa" w:w="2100"/>
            <w:shd w:fill="F3F4F6" w:val="clear"/>
            <w:tcMar>
              <w:top w:type="dxa" w:w="60"/>
              <w:left w:type="dxa" w:w="100"/>
              <w:bottom w:type="dxa" w:w="60"/>
              <w:right w:type="dxa" w:w="100"/>
            </w:tcMar>
            <w:vAlign w:val="center"/>
          </w:tcPr>
          <w:p>
            <w:r>
              <w:rPr>
                <w:b w:val="false"/>
                <w:bCs w:val="false"/>
                <w:sz w:val="16"/>
                <w:szCs w:val="16"/>
              </w:rPr>
              <w:t xml:space="preserve">Best-in-class HCM+Finance combo. Not a manufacturing/inventory ERP</w:t>
            </w:r>
          </w:p>
        </w:tc>
        <w:tc>
          <w:tcPr>
            <w:tcW w:type="dxa" w:w="1600"/>
            <w:shd w:fill="F3F4F6" w:val="clear"/>
            <w:tcMar>
              <w:top w:type="dxa" w:w="60"/>
              <w:left w:type="dxa" w:w="100"/>
              <w:bottom w:type="dxa" w:w="60"/>
              <w:right w:type="dxa" w:w="100"/>
            </w:tcMar>
            <w:vAlign w:val="center"/>
          </w:tcPr>
          <w:p>
            <w:r>
              <w:rPr>
                <w:b w:val="false"/>
                <w:bCs w:val="false"/>
                <w:sz w:val="16"/>
                <w:szCs w:val="16"/>
              </w:rPr>
              <w:t xml:space="preserve">Different competitive lane - HCM-first, not full operations ERP</w:t>
            </w:r>
          </w:p>
        </w:tc>
      </w:tr>
      <w:tr>
        <w:tc>
          <w:tcPr>
            <w:tcW w:type="dxa" w:w="1500"/>
            <w:shd w:fill="FFFFFF" w:val="clear"/>
            <w:tcMar>
              <w:top w:type="dxa" w:w="60"/>
              <w:left w:type="dxa" w:w="100"/>
              <w:bottom w:type="dxa" w:w="60"/>
              <w:right w:type="dxa" w:w="100"/>
            </w:tcMar>
            <w:vAlign w:val="center"/>
          </w:tcPr>
          <w:p>
            <w:r>
              <w:rPr>
                <w:b w:val="false"/>
                <w:bCs w:val="false"/>
                <w:sz w:val="16"/>
                <w:szCs w:val="16"/>
              </w:rPr>
              <w:t xml:space="preserve">Dynamics 365 Business Central</w:t>
            </w:r>
          </w:p>
        </w:tc>
        <w:tc>
          <w:tcPr>
            <w:tcW w:type="dxa" w:w="1400"/>
            <w:shd w:fill="FFFFFF" w:val="clear"/>
            <w:tcMar>
              <w:top w:type="dxa" w:w="60"/>
              <w:left w:type="dxa" w:w="100"/>
              <w:bottom w:type="dxa" w:w="60"/>
              <w:right w:type="dxa" w:w="100"/>
            </w:tcMar>
            <w:vAlign w:val="center"/>
          </w:tcPr>
          <w:p>
            <w:r>
              <w:rPr>
                <w:b w:val="false"/>
                <w:bCs w:val="false"/>
                <w:sz w:val="16"/>
                <w:szCs w:val="16"/>
              </w:rPr>
              <w:t xml:space="preserve">Microsoft</w:t>
            </w:r>
          </w:p>
        </w:tc>
        <w:tc>
          <w:tcPr>
            <w:tcW w:type="dxa" w:w="1900"/>
            <w:shd w:fill="FFFFFF" w:val="clear"/>
            <w:tcMar>
              <w:top w:type="dxa" w:w="60"/>
              <w:left w:type="dxa" w:w="100"/>
              <w:bottom w:type="dxa" w:w="60"/>
              <w:right w:type="dxa" w:w="100"/>
            </w:tcMar>
            <w:vAlign w:val="center"/>
          </w:tcPr>
          <w:p>
            <w:r>
              <w:rPr>
                <w:b w:val="false"/>
                <w:bCs w:val="false"/>
                <w:sz w:val="16"/>
                <w:szCs w:val="16"/>
              </w:rPr>
              <w:t xml:space="preserve">SMB/mid-market; cloud or on-prem</w:t>
            </w:r>
          </w:p>
        </w:tc>
        <w:tc>
          <w:tcPr>
            <w:tcW w:type="dxa" w:w="2000"/>
            <w:shd w:fill="FFFFFF" w:val="clear"/>
            <w:tcMar>
              <w:top w:type="dxa" w:w="60"/>
              <w:left w:type="dxa" w:w="100"/>
              <w:bottom w:type="dxa" w:w="60"/>
              <w:right w:type="dxa" w:w="100"/>
            </w:tcMar>
            <w:vAlign w:val="center"/>
          </w:tcPr>
          <w:p>
            <w:r>
              <w:rPr>
                <w:b w:val="false"/>
                <w:bCs w:val="false"/>
                <w:sz w:val="16"/>
                <w:szCs w:val="16"/>
              </w:rPr>
              <w:t xml:space="preserve">Copilot features shipping incrementally</w:t>
            </w:r>
          </w:p>
        </w:tc>
        <w:tc>
          <w:tcPr>
            <w:tcW w:type="dxa" w:w="2100"/>
            <w:shd w:fill="FFFFFF" w:val="clear"/>
            <w:tcMar>
              <w:top w:type="dxa" w:w="60"/>
              <w:left w:type="dxa" w:w="100"/>
              <w:bottom w:type="dxa" w:w="60"/>
              <w:right w:type="dxa" w:w="100"/>
            </w:tcMar>
            <w:vAlign w:val="center"/>
          </w:tcPr>
          <w:p>
            <w:r>
              <w:rPr>
                <w:b w:val="false"/>
                <w:bCs w:val="false"/>
                <w:sz w:val="16"/>
                <w:szCs w:val="16"/>
              </w:rPr>
              <w:t xml:space="preserve">Easy on-ramp for QuickBooks/Sage upgraders. Shallower manufacturing depth than F&amp;SCM</w:t>
            </w:r>
          </w:p>
        </w:tc>
        <w:tc>
          <w:tcPr>
            <w:tcW w:type="dxa" w:w="1600"/>
            <w:shd w:fill="FFFFFF" w:val="clear"/>
            <w:tcMar>
              <w:top w:type="dxa" w:w="60"/>
              <w:left w:type="dxa" w:w="100"/>
              <w:bottom w:type="dxa" w:w="60"/>
              <w:right w:type="dxa" w:w="100"/>
            </w:tcMar>
            <w:vAlign w:val="center"/>
          </w:tcPr>
          <w:p>
            <w:r>
              <w:rPr>
                <w:b w:val="false"/>
                <w:bCs w:val="false"/>
                <w:sz w:val="16"/>
                <w:szCs w:val="16"/>
              </w:rPr>
              <w:t xml:space="preserve">Microsoft's SMB tier, distinct product from F&amp;SCM</w:t>
            </w:r>
          </w:p>
        </w:tc>
      </w:tr>
      <w:tr>
        <w:tc>
          <w:tcPr>
            <w:tcW w:type="dxa" w:w="1500"/>
            <w:shd w:fill="F3F4F6" w:val="clear"/>
            <w:tcMar>
              <w:top w:type="dxa" w:w="60"/>
              <w:left w:type="dxa" w:w="100"/>
              <w:bottom w:type="dxa" w:w="60"/>
              <w:right w:type="dxa" w:w="100"/>
            </w:tcMar>
            <w:vAlign w:val="center"/>
          </w:tcPr>
          <w:p>
            <w:r>
              <w:rPr>
                <w:b w:val="false"/>
                <w:bCs w:val="false"/>
                <w:sz w:val="16"/>
                <w:szCs w:val="16"/>
              </w:rPr>
              <w:t xml:space="preserve">Infor CloudSuite</w:t>
            </w:r>
          </w:p>
        </w:tc>
        <w:tc>
          <w:tcPr>
            <w:tcW w:type="dxa" w:w="1400"/>
            <w:shd w:fill="F3F4F6" w:val="clear"/>
            <w:tcMar>
              <w:top w:type="dxa" w:w="60"/>
              <w:left w:type="dxa" w:w="100"/>
              <w:bottom w:type="dxa" w:w="60"/>
              <w:right w:type="dxa" w:w="100"/>
            </w:tcMar>
            <w:vAlign w:val="center"/>
          </w:tcPr>
          <w:p>
            <w:r>
              <w:rPr>
                <w:b w:val="false"/>
                <w:bCs w:val="false"/>
                <w:sz w:val="16"/>
                <w:szCs w:val="16"/>
              </w:rPr>
              <w:t xml:space="preserve">Infor (Koch)</w:t>
            </w:r>
          </w:p>
        </w:tc>
        <w:tc>
          <w:tcPr>
            <w:tcW w:type="dxa" w:w="1900"/>
            <w:shd w:fill="F3F4F6" w:val="clear"/>
            <w:tcMar>
              <w:top w:type="dxa" w:w="60"/>
              <w:left w:type="dxa" w:w="100"/>
              <w:bottom w:type="dxa" w:w="60"/>
              <w:right w:type="dxa" w:w="100"/>
            </w:tcMar>
            <w:vAlign w:val="center"/>
          </w:tcPr>
          <w:p>
            <w:r>
              <w:rPr>
                <w:b w:val="false"/>
                <w:bCs w:val="false"/>
                <w:sz w:val="16"/>
                <w:szCs w:val="16"/>
              </w:rPr>
              <w:t xml:space="preserve">Vertical-specific enterprise (mfg, healthcare, F&amp;B)</w:t>
            </w:r>
          </w:p>
        </w:tc>
        <w:tc>
          <w:tcPr>
            <w:tcW w:type="dxa" w:w="2000"/>
            <w:shd w:fill="F3F4F6" w:val="clear"/>
            <w:tcMar>
              <w:top w:type="dxa" w:w="60"/>
              <w:left w:type="dxa" w:w="100"/>
              <w:bottom w:type="dxa" w:w="60"/>
              <w:right w:type="dxa" w:w="100"/>
            </w:tcMar>
            <w:vAlign w:val="center"/>
          </w:tcPr>
          <w:p>
            <w:r>
              <w:rPr>
                <w:b w:val="false"/>
                <w:bCs w:val="false"/>
                <w:sz w:val="16"/>
                <w:szCs w:val="16"/>
              </w:rPr>
              <w:t xml:space="preserve">Infor GenAI claims present, not independently re-verified this session</w:t>
            </w:r>
          </w:p>
        </w:tc>
        <w:tc>
          <w:tcPr>
            <w:tcW w:type="dxa" w:w="2100"/>
            <w:shd w:fill="F3F4F6" w:val="clear"/>
            <w:tcMar>
              <w:top w:type="dxa" w:w="60"/>
              <w:left w:type="dxa" w:w="100"/>
              <w:bottom w:type="dxa" w:w="60"/>
              <w:right w:type="dxa" w:w="100"/>
            </w:tcMar>
            <w:vAlign w:val="center"/>
          </w:tcPr>
          <w:p>
            <w:r>
              <w:rPr>
                <w:b w:val="false"/>
                <w:bCs w:val="false"/>
                <w:sz w:val="16"/>
                <w:szCs w:val="16"/>
              </w:rPr>
              <w:t xml:space="preserve">Strong vertical templates. Smaller ecosystem/mindshare than SAP/Oracle</w:t>
            </w:r>
          </w:p>
        </w:tc>
        <w:tc>
          <w:tcPr>
            <w:tcW w:type="dxa" w:w="1600"/>
            <w:shd w:fill="F3F4F6" w:val="clear"/>
            <w:tcMar>
              <w:top w:type="dxa" w:w="60"/>
              <w:left w:type="dxa" w:w="100"/>
              <w:bottom w:type="dxa" w:w="60"/>
              <w:right w:type="dxa" w:w="100"/>
            </w:tcMar>
            <w:vAlign w:val="center"/>
          </w:tcPr>
          <w:p>
            <w:r>
              <w:rPr>
                <w:b w:val="false"/>
                <w:bCs w:val="false"/>
                <w:sz w:val="16"/>
                <w:szCs w:val="16"/>
              </w:rPr>
              <w:t xml:space="preserve">Vertical depth is the differentiator, not platform breadth</w:t>
            </w:r>
          </w:p>
        </w:tc>
      </w:tr>
      <w:tr>
        <w:tc>
          <w:tcPr>
            <w:tcW w:type="dxa" w:w="1500"/>
            <w:shd w:fill="FFFFFF" w:val="clear"/>
            <w:tcMar>
              <w:top w:type="dxa" w:w="60"/>
              <w:left w:type="dxa" w:w="100"/>
              <w:bottom w:type="dxa" w:w="60"/>
              <w:right w:type="dxa" w:w="100"/>
            </w:tcMar>
            <w:vAlign w:val="center"/>
          </w:tcPr>
          <w:p>
            <w:r>
              <w:rPr>
                <w:b w:val="false"/>
                <w:bCs w:val="false"/>
                <w:sz w:val="16"/>
                <w:szCs w:val="16"/>
              </w:rPr>
              <w:t xml:space="preserve">Epicor Kinetic</w:t>
            </w:r>
          </w:p>
        </w:tc>
        <w:tc>
          <w:tcPr>
            <w:tcW w:type="dxa" w:w="1400"/>
            <w:shd w:fill="FFFFFF" w:val="clear"/>
            <w:tcMar>
              <w:top w:type="dxa" w:w="60"/>
              <w:left w:type="dxa" w:w="100"/>
              <w:bottom w:type="dxa" w:w="60"/>
              <w:right w:type="dxa" w:w="100"/>
            </w:tcMar>
            <w:vAlign w:val="center"/>
          </w:tcPr>
          <w:p>
            <w:r>
              <w:rPr>
                <w:b w:val="false"/>
                <w:bCs w:val="false"/>
                <w:sz w:val="16"/>
                <w:szCs w:val="16"/>
              </w:rPr>
              <w:t xml:space="preserve">Epicor</w:t>
            </w:r>
          </w:p>
        </w:tc>
        <w:tc>
          <w:tcPr>
            <w:tcW w:type="dxa" w:w="1900"/>
            <w:shd w:fill="FFFFFF" w:val="clear"/>
            <w:tcMar>
              <w:top w:type="dxa" w:w="60"/>
              <w:left w:type="dxa" w:w="100"/>
              <w:bottom w:type="dxa" w:w="60"/>
              <w:right w:type="dxa" w:w="100"/>
            </w:tcMar>
            <w:vAlign w:val="center"/>
          </w:tcPr>
          <w:p>
            <w:r>
              <w:rPr>
                <w:b w:val="false"/>
                <w:bCs w:val="false"/>
                <w:sz w:val="16"/>
                <w:szCs w:val="16"/>
              </w:rPr>
              <w:t xml:space="preserve">Mid-market manufacturing/distribution</w:t>
            </w:r>
          </w:p>
        </w:tc>
        <w:tc>
          <w:tcPr>
            <w:tcW w:type="dxa" w:w="2000"/>
            <w:shd w:fill="FFFFFF" w:val="clear"/>
            <w:tcMar>
              <w:top w:type="dxa" w:w="60"/>
              <w:left w:type="dxa" w:w="100"/>
              <w:bottom w:type="dxa" w:w="60"/>
              <w:right w:type="dxa" w:w="100"/>
            </w:tcMar>
            <w:vAlign w:val="center"/>
          </w:tcPr>
          <w:p>
            <w:r>
              <w:rPr>
                <w:b w:val="false"/>
                <w:bCs w:val="false"/>
                <w:sz w:val="16"/>
                <w:szCs w:val="16"/>
              </w:rPr>
              <w:t xml:space="preserve">Epicor AI / "Grow with Epicor AI" rolling out</w:t>
            </w:r>
          </w:p>
        </w:tc>
        <w:tc>
          <w:tcPr>
            <w:tcW w:type="dxa" w:w="2100"/>
            <w:shd w:fill="FFFFFF" w:val="clear"/>
            <w:tcMar>
              <w:top w:type="dxa" w:w="60"/>
              <w:left w:type="dxa" w:w="100"/>
              <w:bottom w:type="dxa" w:w="60"/>
              <w:right w:type="dxa" w:w="100"/>
            </w:tcMar>
            <w:vAlign w:val="center"/>
          </w:tcPr>
          <w:p>
            <w:r>
              <w:rPr>
                <w:b w:val="false"/>
                <w:bCs w:val="false"/>
                <w:sz w:val="16"/>
                <w:szCs w:val="16"/>
              </w:rPr>
              <w:t xml:space="preserve">Strong discrete-manufacturing scheduling. Smaller partner ecosystem</w:t>
            </w:r>
          </w:p>
        </w:tc>
        <w:tc>
          <w:tcPr>
            <w:tcW w:type="dxa" w:w="1600"/>
            <w:shd w:fill="FFFFFF" w:val="clear"/>
            <w:tcMar>
              <w:top w:type="dxa" w:w="60"/>
              <w:left w:type="dxa" w:w="100"/>
              <w:bottom w:type="dxa" w:w="60"/>
              <w:right w:type="dxa" w:w="100"/>
            </w:tcMar>
            <w:vAlign w:val="center"/>
          </w:tcPr>
          <w:p>
            <w:r>
              <w:rPr>
                <w:b w:val="false"/>
                <w:bCs w:val="false"/>
                <w:sz w:val="16"/>
                <w:szCs w:val="16"/>
              </w:rPr>
              <w:t xml:space="preserve">Manufacturing-first positioning</w:t>
            </w:r>
          </w:p>
        </w:tc>
      </w:tr>
      <w:tr>
        <w:tc>
          <w:tcPr>
            <w:tcW w:type="dxa" w:w="1500"/>
            <w:shd w:fill="F3F4F6" w:val="clear"/>
            <w:tcMar>
              <w:top w:type="dxa" w:w="60"/>
              <w:left w:type="dxa" w:w="100"/>
              <w:bottom w:type="dxa" w:w="60"/>
              <w:right w:type="dxa" w:w="100"/>
            </w:tcMar>
            <w:vAlign w:val="center"/>
          </w:tcPr>
          <w:p>
            <w:r>
              <w:rPr>
                <w:b w:val="false"/>
                <w:bCs w:val="false"/>
                <w:sz w:val="16"/>
                <w:szCs w:val="16"/>
              </w:rPr>
              <w:t xml:space="preserve">Sage Intacct</w:t>
            </w:r>
          </w:p>
        </w:tc>
        <w:tc>
          <w:tcPr>
            <w:tcW w:type="dxa" w:w="1400"/>
            <w:shd w:fill="F3F4F6" w:val="clear"/>
            <w:tcMar>
              <w:top w:type="dxa" w:w="60"/>
              <w:left w:type="dxa" w:w="100"/>
              <w:bottom w:type="dxa" w:w="60"/>
              <w:right w:type="dxa" w:w="100"/>
            </w:tcMar>
            <w:vAlign w:val="center"/>
          </w:tcPr>
          <w:p>
            <w:r>
              <w:rPr>
                <w:b w:val="false"/>
                <w:bCs w:val="false"/>
                <w:sz w:val="16"/>
                <w:szCs w:val="16"/>
              </w:rPr>
              <w:t xml:space="preserve">Sage</w:t>
            </w:r>
          </w:p>
        </w:tc>
        <w:tc>
          <w:tcPr>
            <w:tcW w:type="dxa" w:w="1900"/>
            <w:shd w:fill="F3F4F6" w:val="clear"/>
            <w:tcMar>
              <w:top w:type="dxa" w:w="60"/>
              <w:left w:type="dxa" w:w="100"/>
              <w:bottom w:type="dxa" w:w="60"/>
              <w:right w:type="dxa" w:w="100"/>
            </w:tcMar>
            <w:vAlign w:val="center"/>
          </w:tcPr>
          <w:p>
            <w:r>
              <w:rPr>
                <w:b w:val="false"/>
                <w:bCs w:val="false"/>
                <w:sz w:val="16"/>
                <w:szCs w:val="16"/>
              </w:rPr>
              <w:t xml:space="preserve">Mid-market, finance-led, multi-entity</w:t>
            </w:r>
          </w:p>
        </w:tc>
        <w:tc>
          <w:tcPr>
            <w:tcW w:type="dxa" w:w="2000"/>
            <w:shd w:fill="F3F4F6" w:val="clear"/>
            <w:tcMar>
              <w:top w:type="dxa" w:w="60"/>
              <w:left w:type="dxa" w:w="100"/>
              <w:bottom w:type="dxa" w:w="60"/>
              <w:right w:type="dxa" w:w="100"/>
            </w:tcMar>
            <w:vAlign w:val="center"/>
          </w:tcPr>
          <w:p>
            <w:r>
              <w:rPr>
                <w:b w:val="false"/>
                <w:bCs w:val="false"/>
                <w:sz w:val="16"/>
                <w:szCs w:val="16"/>
              </w:rPr>
              <w:t xml:space="preserve">Sage Copilot shipped Feb 2024</w:t>
            </w:r>
          </w:p>
        </w:tc>
        <w:tc>
          <w:tcPr>
            <w:tcW w:type="dxa" w:w="2100"/>
            <w:shd w:fill="F3F4F6" w:val="clear"/>
            <w:tcMar>
              <w:top w:type="dxa" w:w="60"/>
              <w:left w:type="dxa" w:w="100"/>
              <w:bottom w:type="dxa" w:w="60"/>
              <w:right w:type="dxa" w:w="100"/>
            </w:tcMar>
            <w:vAlign w:val="center"/>
          </w:tcPr>
          <w:p>
            <w:r>
              <w:rPr>
                <w:b w:val="false"/>
                <w:bCs w:val="false"/>
                <w:sz w:val="16"/>
                <w:szCs w:val="16"/>
              </w:rPr>
              <w:t xml:space="preserve">Best-in-class multi-entity/multi-currency financial consolidation. Thin on manufacturing/inventory depth</w:t>
            </w:r>
          </w:p>
        </w:tc>
        <w:tc>
          <w:tcPr>
            <w:tcW w:type="dxa" w:w="1600"/>
            <w:shd w:fill="F3F4F6" w:val="clear"/>
            <w:tcMar>
              <w:top w:type="dxa" w:w="60"/>
              <w:left w:type="dxa" w:w="100"/>
              <w:bottom w:type="dxa" w:w="60"/>
              <w:right w:type="dxa" w:w="100"/>
            </w:tcMar>
            <w:vAlign w:val="center"/>
          </w:tcPr>
          <w:p>
            <w:r>
              <w:rPr>
                <w:b w:val="false"/>
                <w:bCs w:val="false"/>
                <w:sz w:val="16"/>
                <w:szCs w:val="16"/>
              </w:rPr>
              <w:t xml:space="preserve">Finance-first, not a full operations ERP</w:t>
            </w:r>
          </w:p>
        </w:tc>
      </w:tr>
      <w:tr>
        <w:tc>
          <w:tcPr>
            <w:tcW w:type="dxa" w:w="1500"/>
            <w:shd w:fill="FFFFFF" w:val="clear"/>
            <w:tcMar>
              <w:top w:type="dxa" w:w="60"/>
              <w:left w:type="dxa" w:w="100"/>
              <w:bottom w:type="dxa" w:w="60"/>
              <w:right w:type="dxa" w:w="100"/>
            </w:tcMar>
            <w:vAlign w:val="center"/>
          </w:tcPr>
          <w:p>
            <w:r>
              <w:rPr>
                <w:b w:val="false"/>
                <w:bCs w:val="false"/>
                <w:sz w:val="16"/>
                <w:szCs w:val="16"/>
              </w:rPr>
              <w:t xml:space="preserve">Sage X3</w:t>
            </w:r>
          </w:p>
        </w:tc>
        <w:tc>
          <w:tcPr>
            <w:tcW w:type="dxa" w:w="1400"/>
            <w:shd w:fill="FFFFFF" w:val="clear"/>
            <w:tcMar>
              <w:top w:type="dxa" w:w="60"/>
              <w:left w:type="dxa" w:w="100"/>
              <w:bottom w:type="dxa" w:w="60"/>
              <w:right w:type="dxa" w:w="100"/>
            </w:tcMar>
            <w:vAlign w:val="center"/>
          </w:tcPr>
          <w:p>
            <w:r>
              <w:rPr>
                <w:b w:val="false"/>
                <w:bCs w:val="false"/>
                <w:sz w:val="16"/>
                <w:szCs w:val="16"/>
              </w:rPr>
              <w:t xml:space="preserve">Sage</w:t>
            </w:r>
          </w:p>
        </w:tc>
        <w:tc>
          <w:tcPr>
            <w:tcW w:type="dxa" w:w="1900"/>
            <w:shd w:fill="FFFFFF" w:val="clear"/>
            <w:tcMar>
              <w:top w:type="dxa" w:w="60"/>
              <w:left w:type="dxa" w:w="100"/>
              <w:bottom w:type="dxa" w:w="60"/>
              <w:right w:type="dxa" w:w="100"/>
            </w:tcMar>
            <w:vAlign w:val="center"/>
          </w:tcPr>
          <w:p>
            <w:r>
              <w:rPr>
                <w:b w:val="false"/>
                <w:bCs w:val="false"/>
                <w:sz w:val="16"/>
                <w:szCs w:val="16"/>
              </w:rPr>
              <w:t xml:space="preserve">Mid-market manufacturing/distribution</w:t>
            </w:r>
          </w:p>
        </w:tc>
        <w:tc>
          <w:tcPr>
            <w:tcW w:type="dxa" w:w="2000"/>
            <w:shd w:fill="FFFFFF" w:val="clear"/>
            <w:tcMar>
              <w:top w:type="dxa" w:w="60"/>
              <w:left w:type="dxa" w:w="100"/>
              <w:bottom w:type="dxa" w:w="60"/>
              <w:right w:type="dxa" w:w="100"/>
            </w:tcMar>
            <w:vAlign w:val="center"/>
          </w:tcPr>
          <w:p>
            <w:r>
              <w:rPr>
                <w:b w:val="false"/>
                <w:bCs w:val="false"/>
                <w:sz w:val="16"/>
                <w:szCs w:val="16"/>
              </w:rPr>
              <w:t xml:space="preserve">AI messaging on Sage's own site flagged "illustrative/roadmap," contradicting G2's "embedded" framing</w:t>
            </w:r>
          </w:p>
        </w:tc>
        <w:tc>
          <w:tcPr>
            <w:tcW w:type="dxa" w:w="2100"/>
            <w:shd w:fill="FFFFFF" w:val="clear"/>
            <w:tcMar>
              <w:top w:type="dxa" w:w="60"/>
              <w:left w:type="dxa" w:w="100"/>
              <w:bottom w:type="dxa" w:w="60"/>
              <w:right w:type="dxa" w:w="100"/>
            </w:tcMar>
            <w:vAlign w:val="center"/>
          </w:tcPr>
          <w:p>
            <w:r>
              <w:rPr>
                <w:b w:val="false"/>
                <w:bCs w:val="false"/>
                <w:sz w:val="16"/>
                <w:szCs w:val="16"/>
              </w:rPr>
              <w:t xml:space="preserve">Real distribution/mfg functionality. Confirmed marketing/reality AI gap</w:t>
            </w:r>
          </w:p>
        </w:tc>
        <w:tc>
          <w:tcPr>
            <w:tcW w:type="dxa" w:w="1600"/>
            <w:shd w:fill="FFFFFF" w:val="clear"/>
            <w:tcMar>
              <w:top w:type="dxa" w:w="60"/>
              <w:left w:type="dxa" w:w="100"/>
              <w:bottom w:type="dxa" w:w="60"/>
              <w:right w:type="dxa" w:w="100"/>
            </w:tcMar>
            <w:vAlign w:val="center"/>
          </w:tcPr>
          <w:p>
            <w:r>
              <w:rPr>
                <w:b w:val="false"/>
                <w:bCs w:val="false"/>
                <w:sz w:val="16"/>
                <w:szCs w:val="16"/>
              </w:rPr>
              <w:t xml:space="preserve">Genuine discrepancy between vendor site and G2 listing - flagged, not resolved</w:t>
            </w:r>
          </w:p>
        </w:tc>
      </w:tr>
      <w:tr>
        <w:tc>
          <w:tcPr>
            <w:tcW w:type="dxa" w:w="1500"/>
            <w:shd w:fill="F3F4F6" w:val="clear"/>
            <w:tcMar>
              <w:top w:type="dxa" w:w="60"/>
              <w:left w:type="dxa" w:w="100"/>
              <w:bottom w:type="dxa" w:w="60"/>
              <w:right w:type="dxa" w:w="100"/>
            </w:tcMar>
            <w:vAlign w:val="center"/>
          </w:tcPr>
          <w:p>
            <w:r>
              <w:rPr>
                <w:b w:val="false"/>
                <w:bCs w:val="false"/>
                <w:sz w:val="16"/>
                <w:szCs w:val="16"/>
              </w:rPr>
              <w:t xml:space="preserve">Acumatica</w:t>
            </w:r>
          </w:p>
        </w:tc>
        <w:tc>
          <w:tcPr>
            <w:tcW w:type="dxa" w:w="1400"/>
            <w:shd w:fill="F3F4F6" w:val="clear"/>
            <w:tcMar>
              <w:top w:type="dxa" w:w="60"/>
              <w:left w:type="dxa" w:w="100"/>
              <w:bottom w:type="dxa" w:w="60"/>
              <w:right w:type="dxa" w:w="100"/>
            </w:tcMar>
            <w:vAlign w:val="center"/>
          </w:tcPr>
          <w:p>
            <w:r>
              <w:rPr>
                <w:b w:val="false"/>
                <w:bCs w:val="false"/>
                <w:sz w:val="16"/>
                <w:szCs w:val="16"/>
              </w:rPr>
              <w:t xml:space="preserve">Acumatica (Vista Equity, 2025 acquisition, ~$2B)</w:t>
            </w:r>
          </w:p>
        </w:tc>
        <w:tc>
          <w:tcPr>
            <w:tcW w:type="dxa" w:w="1900"/>
            <w:shd w:fill="F3F4F6" w:val="clear"/>
            <w:tcMar>
              <w:top w:type="dxa" w:w="60"/>
              <w:left w:type="dxa" w:w="100"/>
              <w:bottom w:type="dxa" w:w="60"/>
              <w:right w:type="dxa" w:w="100"/>
            </w:tcMar>
            <w:vAlign w:val="center"/>
          </w:tcPr>
          <w:p>
            <w:r>
              <w:rPr>
                <w:b w:val="false"/>
                <w:bCs w:val="false"/>
                <w:sz w:val="16"/>
                <w:szCs w:val="16"/>
              </w:rPr>
              <w:t xml:space="preserve">Mid-market, consumption-based licensing (confirmed via G2)</w:t>
            </w:r>
          </w:p>
        </w:tc>
        <w:tc>
          <w:tcPr>
            <w:tcW w:type="dxa" w:w="2000"/>
            <w:shd w:fill="F3F4F6" w:val="clear"/>
            <w:tcMar>
              <w:top w:type="dxa" w:w="60"/>
              <w:left w:type="dxa" w:w="100"/>
              <w:bottom w:type="dxa" w:w="60"/>
              <w:right w:type="dxa" w:w="100"/>
            </w:tcMar>
            <w:vAlign w:val="center"/>
          </w:tcPr>
          <w:p>
            <w:r>
              <w:rPr>
                <w:b w:val="false"/>
                <w:bCs w:val="false"/>
                <w:sz w:val="16"/>
                <w:szCs w:val="16"/>
              </w:rPr>
              <w:t xml:space="preserve">AI features rolling out post-acquisition</w:t>
            </w:r>
          </w:p>
        </w:tc>
        <w:tc>
          <w:tcPr>
            <w:tcW w:type="dxa" w:w="2100"/>
            <w:shd w:fill="F3F4F6" w:val="clear"/>
            <w:tcMar>
              <w:top w:type="dxa" w:w="60"/>
              <w:left w:type="dxa" w:w="100"/>
              <w:bottom w:type="dxa" w:w="60"/>
              <w:right w:type="dxa" w:w="100"/>
            </w:tcMar>
            <w:vAlign w:val="center"/>
          </w:tcPr>
          <w:p>
            <w:r>
              <w:rPr>
                <w:b w:val="false"/>
                <w:bCs w:val="false"/>
                <w:sz w:val="16"/>
                <w:szCs w:val="16"/>
              </w:rPr>
              <w:t xml:space="preserve">Usage-based pricing is a genuine differentiator vs. per-user licensing. Newly under PE ownership - roadmap risk</w:t>
            </w:r>
          </w:p>
        </w:tc>
        <w:tc>
          <w:tcPr>
            <w:tcW w:type="dxa" w:w="1600"/>
            <w:shd w:fill="F3F4F6" w:val="clear"/>
            <w:tcMar>
              <w:top w:type="dxa" w:w="60"/>
              <w:left w:type="dxa" w:w="100"/>
              <w:bottom w:type="dxa" w:w="60"/>
              <w:right w:type="dxa" w:w="100"/>
            </w:tcMar>
            <w:vAlign w:val="center"/>
          </w:tcPr>
          <w:p>
            <w:r>
              <w:rPr>
                <w:b w:val="false"/>
                <w:bCs w:val="false"/>
                <w:sz w:val="16"/>
                <w:szCs w:val="16"/>
              </w:rPr>
              <w:t xml:space="preserve">Consumption pricing model is unusual in this tier and worth tracking</w:t>
            </w:r>
          </w:p>
        </w:tc>
      </w:tr>
    </w:tbl>
    <w:p>
      <w:r>
        <w:br w:type="page"/>
      </w:r>
    </w:p>
    <w:p>
      <w:pPr>
        <w:pStyle w:val="Heading1"/>
        <w:spacing w:after="200" w:before="400"/>
      </w:pPr>
      <w:r>
        <w:t xml:space="preserve">4. Tier 2: Mid-Market &amp; Regional Cloud ERP (10 products)</w:t>
      </w:r>
    </w:p>
    <w:p>
      <w:pPr>
        <w:spacing w:after="160" w:line="276"/>
      </w:pPr>
      <w:r>
        <w:rPr>
          <w:sz w:val="21"/>
          <w:szCs w:val="21"/>
        </w:rPr>
        <w:t xml:space="preserve">Mid-market and regional vendors, including three India-origin/India-relevant players (ERPNext, Zoho, TallyPrime) that also appear in the India Market Deep-Dive (Section 8).</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900"/>
        <w:gridCol w:w="2000"/>
        <w:gridCol w:w="2100"/>
        <w:gridCol w:w="1600"/>
      </w:tblGrid>
      <w:tr>
        <w:trPr>
          <w:tblHeader/>
        </w:trPr>
        <w:tc>
          <w:tcPr>
            <w:tcW w:type="dxa" w:w="1500"/>
            <w:shd w:fill="1F2937" w:val="clear"/>
            <w:tcMar>
              <w:top w:type="dxa" w:w="60"/>
              <w:left w:type="dxa" w:w="100"/>
              <w:bottom w:type="dxa" w:w="60"/>
              <w:right w:type="dxa" w:w="100"/>
            </w:tcMar>
            <w:vAlign w:val="center"/>
          </w:tcPr>
          <w:p>
            <w:r>
              <w:rPr>
                <w:b/>
                <w:bCs/>
                <w:color w:val="FFFFFF"/>
                <w:sz w:val="17"/>
                <w:szCs w:val="17"/>
              </w:rPr>
              <w:t xml:space="preserve">Product</w:t>
            </w:r>
          </w:p>
        </w:tc>
        <w:tc>
          <w:tcPr>
            <w:tcW w:type="dxa" w:w="1400"/>
            <w:shd w:fill="1F2937" w:val="clear"/>
            <w:tcMar>
              <w:top w:type="dxa" w:w="60"/>
              <w:left w:type="dxa" w:w="100"/>
              <w:bottom w:type="dxa" w:w="60"/>
              <w:right w:type="dxa" w:w="100"/>
            </w:tcMar>
            <w:vAlign w:val="center"/>
          </w:tcPr>
          <w:p>
            <w:r>
              <w:rPr>
                <w:b/>
                <w:bCs/>
                <w:color w:val="FFFFFF"/>
                <w:sz w:val="17"/>
                <w:szCs w:val="17"/>
              </w:rPr>
              <w:t xml:space="preserve">Vendor</w:t>
            </w:r>
          </w:p>
        </w:tc>
        <w:tc>
          <w:tcPr>
            <w:tcW w:type="dxa" w:w="1900"/>
            <w:shd w:fill="1F2937" w:val="clear"/>
            <w:tcMar>
              <w:top w:type="dxa" w:w="60"/>
              <w:left w:type="dxa" w:w="100"/>
              <w:bottom w:type="dxa" w:w="60"/>
              <w:right w:type="dxa" w:w="100"/>
            </w:tcMar>
            <w:vAlign w:val="center"/>
          </w:tcPr>
          <w:p>
            <w:r>
              <w:rPr>
                <w:b/>
                <w:bCs/>
                <w:color w:val="FFFFFF"/>
                <w:sz w:val="17"/>
                <w:szCs w:val="17"/>
              </w:rPr>
              <w:t xml:space="preserve">Target / Deployment</w:t>
            </w:r>
          </w:p>
        </w:tc>
        <w:tc>
          <w:tcPr>
            <w:tcW w:type="dxa" w:w="2000"/>
            <w:shd w:fill="1F2937" w:val="clear"/>
            <w:tcMar>
              <w:top w:type="dxa" w:w="60"/>
              <w:left w:type="dxa" w:w="100"/>
              <w:bottom w:type="dxa" w:w="60"/>
              <w:right w:type="dxa" w:w="100"/>
            </w:tcMar>
            <w:vAlign w:val="center"/>
          </w:tcPr>
          <w:p>
            <w:r>
              <w:rPr>
                <w:b/>
                <w:bCs/>
                <w:color w:val="FFFFFF"/>
                <w:sz w:val="17"/>
                <w:szCs w:val="17"/>
              </w:rPr>
              <w:t xml:space="preserve">2024-26 AI Move</w:t>
            </w:r>
          </w:p>
        </w:tc>
        <w:tc>
          <w:tcPr>
            <w:tcW w:type="dxa" w:w="2100"/>
            <w:shd w:fill="1F2937" w:val="clear"/>
            <w:tcMar>
              <w:top w:type="dxa" w:w="60"/>
              <w:left w:type="dxa" w:w="100"/>
              <w:bottom w:type="dxa" w:w="60"/>
              <w:right w:type="dxa" w:w="100"/>
            </w:tcMar>
            <w:vAlign w:val="center"/>
          </w:tcPr>
          <w:p>
            <w:r>
              <w:rPr>
                <w:b/>
                <w:bCs/>
                <w:color w:val="FFFFFF"/>
                <w:sz w:val="17"/>
                <w:szCs w:val="17"/>
              </w:rPr>
              <w:t xml:space="preserve">Strength / Weakness</w:t>
            </w:r>
          </w:p>
        </w:tc>
        <w:tc>
          <w:tcPr>
            <w:tcW w:type="dxa" w:w="1600"/>
            <w:shd w:fill="1F2937" w:val="clear"/>
            <w:tcMar>
              <w:top w:type="dxa" w:w="60"/>
              <w:left w:type="dxa" w:w="100"/>
              <w:bottom w:type="dxa" w:w="60"/>
              <w:right w:type="dxa" w:w="100"/>
            </w:tcMar>
            <w:vAlign w:val="center"/>
          </w:tcPr>
          <w:p>
            <w:r>
              <w:rPr>
                <w:b/>
                <w:bCs/>
                <w:color w:val="FFFFFF"/>
                <w:sz w:val="17"/>
                <w:szCs w:val="17"/>
              </w:rPr>
              <w:t xml:space="preserve">Notes</w:t>
            </w:r>
          </w:p>
        </w:tc>
      </w:tr>
      <w:tr>
        <w:tc>
          <w:tcPr>
            <w:tcW w:type="dxa" w:w="1500"/>
            <w:shd w:fill="FFFFFF" w:val="clear"/>
            <w:tcMar>
              <w:top w:type="dxa" w:w="60"/>
              <w:left w:type="dxa" w:w="100"/>
              <w:bottom w:type="dxa" w:w="60"/>
              <w:right w:type="dxa" w:w="100"/>
            </w:tcMar>
            <w:vAlign w:val="center"/>
          </w:tcPr>
          <w:p>
            <w:r>
              <w:rPr>
                <w:b w:val="false"/>
                <w:bCs w:val="false"/>
                <w:sz w:val="16"/>
                <w:szCs w:val="16"/>
              </w:rPr>
              <w:t xml:space="preserve">IFS Cloud</w:t>
            </w:r>
          </w:p>
        </w:tc>
        <w:tc>
          <w:tcPr>
            <w:tcW w:type="dxa" w:w="1400"/>
            <w:shd w:fill="FFFFFF" w:val="clear"/>
            <w:tcMar>
              <w:top w:type="dxa" w:w="60"/>
              <w:left w:type="dxa" w:w="100"/>
              <w:bottom w:type="dxa" w:w="60"/>
              <w:right w:type="dxa" w:w="100"/>
            </w:tcMar>
            <w:vAlign w:val="center"/>
          </w:tcPr>
          <w:p>
            <w:r>
              <w:rPr>
                <w:b w:val="false"/>
                <w:bCs w:val="false"/>
                <w:sz w:val="16"/>
                <w:szCs w:val="16"/>
              </w:rPr>
              <w:t xml:space="preserve">IFS</w:t>
            </w:r>
          </w:p>
        </w:tc>
        <w:tc>
          <w:tcPr>
            <w:tcW w:type="dxa" w:w="1900"/>
            <w:shd w:fill="FFFFFF" w:val="clear"/>
            <w:tcMar>
              <w:top w:type="dxa" w:w="60"/>
              <w:left w:type="dxa" w:w="100"/>
              <w:bottom w:type="dxa" w:w="60"/>
              <w:right w:type="dxa" w:w="100"/>
            </w:tcMar>
            <w:vAlign w:val="center"/>
          </w:tcPr>
          <w:p>
            <w:r>
              <w:rPr>
                <w:b w:val="false"/>
                <w:bCs w:val="false"/>
                <w:sz w:val="16"/>
                <w:szCs w:val="16"/>
              </w:rPr>
              <w:t xml:space="preserve">Asset-intensive verticals: aerospace/defense, energy, construction</w:t>
            </w:r>
          </w:p>
        </w:tc>
        <w:tc>
          <w:tcPr>
            <w:tcW w:type="dxa" w:w="2000"/>
            <w:shd w:fill="FFFFFF" w:val="clear"/>
            <w:tcMar>
              <w:top w:type="dxa" w:w="60"/>
              <w:left w:type="dxa" w:w="100"/>
              <w:bottom w:type="dxa" w:w="60"/>
              <w:right w:type="dxa" w:w="100"/>
            </w:tcMar>
            <w:vAlign w:val="center"/>
          </w:tcPr>
          <w:p>
            <w:r>
              <w:rPr>
                <w:b w:val="false"/>
                <w:bCs w:val="false"/>
                <w:sz w:val="16"/>
                <w:szCs w:val="16"/>
              </w:rPr>
              <w:t xml:space="preserve">IFS.ai branding present</w:t>
            </w:r>
          </w:p>
        </w:tc>
        <w:tc>
          <w:tcPr>
            <w:tcW w:type="dxa" w:w="2100"/>
            <w:shd w:fill="FFFFFF" w:val="clear"/>
            <w:tcMar>
              <w:top w:type="dxa" w:w="60"/>
              <w:left w:type="dxa" w:w="100"/>
              <w:bottom w:type="dxa" w:w="60"/>
              <w:right w:type="dxa" w:w="100"/>
            </w:tcMar>
            <w:vAlign w:val="center"/>
          </w:tcPr>
          <w:p>
            <w:r>
              <w:rPr>
                <w:b w:val="false"/>
                <w:bCs w:val="false"/>
                <w:sz w:val="16"/>
                <w:szCs w:val="16"/>
              </w:rPr>
              <w:t xml:space="preserve">Deep asset/EAM &amp; field-service functionality. Finance module reviewer-flagged as "probably the weakest module"</w:t>
            </w:r>
          </w:p>
        </w:tc>
        <w:tc>
          <w:tcPr>
            <w:tcW w:type="dxa" w:w="1600"/>
            <w:shd w:fill="FFFFFF" w:val="clear"/>
            <w:tcMar>
              <w:top w:type="dxa" w:w="60"/>
              <w:left w:type="dxa" w:w="100"/>
              <w:bottom w:type="dxa" w:w="60"/>
              <w:right w:type="dxa" w:w="100"/>
            </w:tcMar>
            <w:vAlign w:val="center"/>
          </w:tcPr>
          <w:p>
            <w:r>
              <w:rPr>
                <w:b w:val="false"/>
                <w:bCs w:val="false"/>
                <w:sz w:val="16"/>
                <w:szCs w:val="16"/>
              </w:rPr>
              <w:t xml:space="preserve">Vertical specialist, not a finance-strength play</w:t>
            </w:r>
          </w:p>
        </w:tc>
      </w:tr>
      <w:tr>
        <w:tc>
          <w:tcPr>
            <w:tcW w:type="dxa" w:w="1500"/>
            <w:shd w:fill="F3F4F6" w:val="clear"/>
            <w:tcMar>
              <w:top w:type="dxa" w:w="60"/>
              <w:left w:type="dxa" w:w="100"/>
              <w:bottom w:type="dxa" w:w="60"/>
              <w:right w:type="dxa" w:w="100"/>
            </w:tcMar>
            <w:vAlign w:val="center"/>
          </w:tcPr>
          <w:p>
            <w:r>
              <w:rPr>
                <w:b w:val="false"/>
                <w:bCs w:val="false"/>
                <w:sz w:val="16"/>
                <w:szCs w:val="16"/>
              </w:rPr>
              <w:t xml:space="preserve">QAD Adaptive ERP</w:t>
            </w:r>
          </w:p>
        </w:tc>
        <w:tc>
          <w:tcPr>
            <w:tcW w:type="dxa" w:w="1400"/>
            <w:shd w:fill="F3F4F6" w:val="clear"/>
            <w:tcMar>
              <w:top w:type="dxa" w:w="60"/>
              <w:left w:type="dxa" w:w="100"/>
              <w:bottom w:type="dxa" w:w="60"/>
              <w:right w:type="dxa" w:w="100"/>
            </w:tcMar>
            <w:vAlign w:val="center"/>
          </w:tcPr>
          <w:p>
            <w:r>
              <w:rPr>
                <w:b w:val="false"/>
                <w:bCs w:val="false"/>
                <w:sz w:val="16"/>
                <w:szCs w:val="16"/>
              </w:rPr>
              <w:t xml:space="preserve">QAD</w:t>
            </w:r>
          </w:p>
        </w:tc>
        <w:tc>
          <w:tcPr>
            <w:tcW w:type="dxa" w:w="1900"/>
            <w:shd w:fill="F3F4F6" w:val="clear"/>
            <w:tcMar>
              <w:top w:type="dxa" w:w="60"/>
              <w:left w:type="dxa" w:w="100"/>
              <w:bottom w:type="dxa" w:w="60"/>
              <w:right w:type="dxa" w:w="100"/>
            </w:tcMar>
            <w:vAlign w:val="center"/>
          </w:tcPr>
          <w:p>
            <w:r>
              <w:rPr>
                <w:b w:val="false"/>
                <w:bCs w:val="false"/>
                <w:sz w:val="16"/>
                <w:szCs w:val="16"/>
              </w:rPr>
              <w:t xml:space="preserve">Mid-market manufacturing (automotive, life sciences)</w:t>
            </w:r>
          </w:p>
        </w:tc>
        <w:tc>
          <w:tcPr>
            <w:tcW w:type="dxa" w:w="2000"/>
            <w:shd w:fill="F3F4F6" w:val="clear"/>
            <w:tcMar>
              <w:top w:type="dxa" w:w="60"/>
              <w:left w:type="dxa" w:w="100"/>
              <w:bottom w:type="dxa" w:w="60"/>
              <w:right w:type="dxa" w:w="100"/>
            </w:tcMar>
            <w:vAlign w:val="center"/>
          </w:tcPr>
          <w:p>
            <w:r>
              <w:rPr>
                <w:b w:val="false"/>
                <w:bCs w:val="false"/>
                <w:sz w:val="16"/>
                <w:szCs w:val="16"/>
              </w:rPr>
              <w:t xml:space="preserve">AI claims low-confidence - G2 taxonomy artifact, only 17 reviews sampled</w:t>
            </w:r>
          </w:p>
        </w:tc>
        <w:tc>
          <w:tcPr>
            <w:tcW w:type="dxa" w:w="2100"/>
            <w:shd w:fill="F3F4F6" w:val="clear"/>
            <w:tcMar>
              <w:top w:type="dxa" w:w="60"/>
              <w:left w:type="dxa" w:w="100"/>
              <w:bottom w:type="dxa" w:w="60"/>
              <w:right w:type="dxa" w:w="100"/>
            </w:tcMar>
            <w:vAlign w:val="center"/>
          </w:tcPr>
          <w:p>
            <w:r>
              <w:rPr>
                <w:b w:val="false"/>
                <w:bCs w:val="false"/>
                <w:sz w:val="16"/>
                <w:szCs w:val="16"/>
              </w:rPr>
              <w:t xml:space="preserve">Strong automotive-supply-chain compliance. Small review sample limits confidence in ratings</w:t>
            </w:r>
          </w:p>
        </w:tc>
        <w:tc>
          <w:tcPr>
            <w:tcW w:type="dxa" w:w="1600"/>
            <w:shd w:fill="F3F4F6" w:val="clear"/>
            <w:tcMar>
              <w:top w:type="dxa" w:w="60"/>
              <w:left w:type="dxa" w:w="100"/>
              <w:bottom w:type="dxa" w:w="60"/>
              <w:right w:type="dxa" w:w="100"/>
            </w:tcMar>
            <w:vAlign w:val="center"/>
          </w:tcPr>
          <w:p>
            <w:r>
              <w:rPr>
                <w:b w:val="false"/>
                <w:bCs w:val="false"/>
                <w:sz w:val="16"/>
                <w:szCs w:val="16"/>
              </w:rPr>
              <w:t xml:space="preserve">Confidence-flagged: thin evidence base</w:t>
            </w:r>
          </w:p>
        </w:tc>
      </w:tr>
      <w:tr>
        <w:tc>
          <w:tcPr>
            <w:tcW w:type="dxa" w:w="1500"/>
            <w:shd w:fill="FFFFFF" w:val="clear"/>
            <w:tcMar>
              <w:top w:type="dxa" w:w="60"/>
              <w:left w:type="dxa" w:w="100"/>
              <w:bottom w:type="dxa" w:w="60"/>
              <w:right w:type="dxa" w:w="100"/>
            </w:tcMar>
            <w:vAlign w:val="center"/>
          </w:tcPr>
          <w:p>
            <w:r>
              <w:rPr>
                <w:b w:val="false"/>
                <w:bCs w:val="false"/>
                <w:sz w:val="16"/>
                <w:szCs w:val="16"/>
              </w:rPr>
              <w:t xml:space="preserve">Syspro</w:t>
            </w:r>
          </w:p>
        </w:tc>
        <w:tc>
          <w:tcPr>
            <w:tcW w:type="dxa" w:w="1400"/>
            <w:shd w:fill="FFFFFF" w:val="clear"/>
            <w:tcMar>
              <w:top w:type="dxa" w:w="60"/>
              <w:left w:type="dxa" w:w="100"/>
              <w:bottom w:type="dxa" w:w="60"/>
              <w:right w:type="dxa" w:w="100"/>
            </w:tcMar>
            <w:vAlign w:val="center"/>
          </w:tcPr>
          <w:p>
            <w:r>
              <w:rPr>
                <w:b w:val="false"/>
                <w:bCs w:val="false"/>
                <w:sz w:val="16"/>
                <w:szCs w:val="16"/>
              </w:rPr>
              <w:t xml:space="preserve">Syspro</w:t>
            </w:r>
          </w:p>
        </w:tc>
        <w:tc>
          <w:tcPr>
            <w:tcW w:type="dxa" w:w="1900"/>
            <w:shd w:fill="FFFFFF" w:val="clear"/>
            <w:tcMar>
              <w:top w:type="dxa" w:w="60"/>
              <w:left w:type="dxa" w:w="100"/>
              <w:bottom w:type="dxa" w:w="60"/>
              <w:right w:type="dxa" w:w="100"/>
            </w:tcMar>
            <w:vAlign w:val="center"/>
          </w:tcPr>
          <w:p>
            <w:r>
              <w:rPr>
                <w:b w:val="false"/>
                <w:bCs w:val="false"/>
                <w:sz w:val="16"/>
                <w:szCs w:val="16"/>
              </w:rPr>
              <w:t xml:space="preserve">SMB/mid-market manufacturing &amp; distribution</w:t>
            </w:r>
          </w:p>
        </w:tc>
        <w:tc>
          <w:tcPr>
            <w:tcW w:type="dxa" w:w="2000"/>
            <w:shd w:fill="FFFFFF" w:val="clear"/>
            <w:tcMar>
              <w:top w:type="dxa" w:w="60"/>
              <w:left w:type="dxa" w:w="100"/>
              <w:bottom w:type="dxa" w:w="60"/>
              <w:right w:type="dxa" w:w="100"/>
            </w:tcMar>
            <w:vAlign w:val="center"/>
          </w:tcPr>
          <w:p>
            <w:r>
              <w:rPr>
                <w:b w:val="false"/>
                <w:bCs w:val="false"/>
                <w:sz w:val="16"/>
                <w:szCs w:val="16"/>
              </w:rPr>
              <w:t xml:space="preserve">"SIDEKICK" AI co-pilot shipped</w:t>
            </w:r>
          </w:p>
        </w:tc>
        <w:tc>
          <w:tcPr>
            <w:tcW w:type="dxa" w:w="2100"/>
            <w:shd w:fill="FFFFFF" w:val="clear"/>
            <w:tcMar>
              <w:top w:type="dxa" w:w="60"/>
              <w:left w:type="dxa" w:w="100"/>
              <w:bottom w:type="dxa" w:w="60"/>
              <w:right w:type="dxa" w:w="100"/>
            </w:tcMar>
            <w:vAlign w:val="center"/>
          </w:tcPr>
          <w:p>
            <w:r>
              <w:rPr>
                <w:b w:val="false"/>
                <w:bCs w:val="false"/>
                <w:sz w:val="16"/>
                <w:szCs w:val="16"/>
              </w:rPr>
              <w:t xml:space="preserve">Moving off perpetual licensing - formal July 2026 notice ends Initial+Annual Fee model for subscription-only</w:t>
            </w:r>
          </w:p>
        </w:tc>
        <w:tc>
          <w:tcPr>
            <w:tcW w:type="dxa" w:w="1600"/>
            <w:shd w:fill="FFFFFF" w:val="clear"/>
            <w:tcMar>
              <w:top w:type="dxa" w:w="60"/>
              <w:left w:type="dxa" w:w="100"/>
              <w:bottom w:type="dxa" w:w="60"/>
              <w:right w:type="dxa" w:w="100"/>
            </w:tcMar>
            <w:vAlign w:val="center"/>
          </w:tcPr>
          <w:p>
            <w:r>
              <w:rPr>
                <w:b w:val="false"/>
                <w:bCs w:val="false"/>
                <w:sz w:val="16"/>
                <w:szCs w:val="16"/>
              </w:rPr>
              <w:t xml:space="preserve">Licensing model change is recent and material - watch for market reaction</w:t>
            </w:r>
          </w:p>
        </w:tc>
      </w:tr>
      <w:tr>
        <w:tc>
          <w:tcPr>
            <w:tcW w:type="dxa" w:w="1500"/>
            <w:shd w:fill="F3F4F6" w:val="clear"/>
            <w:tcMar>
              <w:top w:type="dxa" w:w="60"/>
              <w:left w:type="dxa" w:w="100"/>
              <w:bottom w:type="dxa" w:w="60"/>
              <w:right w:type="dxa" w:w="100"/>
            </w:tcMar>
            <w:vAlign w:val="center"/>
          </w:tcPr>
          <w:p>
            <w:r>
              <w:rPr>
                <w:b w:val="false"/>
                <w:bCs w:val="false"/>
                <w:sz w:val="16"/>
                <w:szCs w:val="16"/>
              </w:rPr>
              <w:t xml:space="preserve">Rootstock Cloud ERP</w:t>
            </w:r>
          </w:p>
        </w:tc>
        <w:tc>
          <w:tcPr>
            <w:tcW w:type="dxa" w:w="1400"/>
            <w:shd w:fill="F3F4F6" w:val="clear"/>
            <w:tcMar>
              <w:top w:type="dxa" w:w="60"/>
              <w:left w:type="dxa" w:w="100"/>
              <w:bottom w:type="dxa" w:w="60"/>
              <w:right w:type="dxa" w:w="100"/>
            </w:tcMar>
            <w:vAlign w:val="center"/>
          </w:tcPr>
          <w:p>
            <w:r>
              <w:rPr>
                <w:b w:val="false"/>
                <w:bCs w:val="false"/>
                <w:sz w:val="16"/>
                <w:szCs w:val="16"/>
              </w:rPr>
              <w:t xml:space="preserve">Rootstock</w:t>
            </w:r>
          </w:p>
        </w:tc>
        <w:tc>
          <w:tcPr>
            <w:tcW w:type="dxa" w:w="1900"/>
            <w:shd w:fill="F3F4F6" w:val="clear"/>
            <w:tcMar>
              <w:top w:type="dxa" w:w="60"/>
              <w:left w:type="dxa" w:w="100"/>
              <w:bottom w:type="dxa" w:w="60"/>
              <w:right w:type="dxa" w:w="100"/>
            </w:tcMar>
            <w:vAlign w:val="center"/>
          </w:tcPr>
          <w:p>
            <w:r>
              <w:rPr>
                <w:b w:val="false"/>
                <w:bCs w:val="false"/>
                <w:sz w:val="16"/>
                <w:szCs w:val="16"/>
              </w:rPr>
              <w:t xml:space="preserve">Manufacturing, built natively on Salesforce Platform</w:t>
            </w:r>
          </w:p>
        </w:tc>
        <w:tc>
          <w:tcPr>
            <w:tcW w:type="dxa" w:w="2000"/>
            <w:shd w:fill="F3F4F6" w:val="clear"/>
            <w:tcMar>
              <w:top w:type="dxa" w:w="60"/>
              <w:left w:type="dxa" w:w="100"/>
              <w:bottom w:type="dxa" w:w="60"/>
              <w:right w:type="dxa" w:w="100"/>
            </w:tcMar>
            <w:vAlign w:val="center"/>
          </w:tcPr>
          <w:p>
            <w:r>
              <w:rPr>
                <w:b w:val="false"/>
                <w:bCs w:val="false"/>
                <w:sz w:val="16"/>
                <w:szCs w:val="16"/>
              </w:rPr>
              <w:t xml:space="preserve">Positions as "AI-native": agents from Salesforce, Rootstock, customer-built, and named external tools (Claude, ChatGPT)</w:t>
            </w:r>
          </w:p>
        </w:tc>
        <w:tc>
          <w:tcPr>
            <w:tcW w:type="dxa" w:w="2100"/>
            <w:shd w:fill="F3F4F6" w:val="clear"/>
            <w:tcMar>
              <w:top w:type="dxa" w:w="60"/>
              <w:left w:type="dxa" w:w="100"/>
              <w:bottom w:type="dxa" w:w="60"/>
              <w:right w:type="dxa" w:w="100"/>
            </w:tcMar>
            <w:vAlign w:val="center"/>
          </w:tcPr>
          <w:p>
            <w:r>
              <w:rPr>
                <w:b w:val="false"/>
                <w:bCs w:val="false"/>
                <w:sz w:val="16"/>
                <w:szCs w:val="16"/>
              </w:rPr>
              <w:t xml:space="preserve">Native Salesforce CRM integration is a real structural advantage for Salesforce shops. Fully dependent on Salesforce platform economics</w:t>
            </w:r>
          </w:p>
        </w:tc>
        <w:tc>
          <w:tcPr>
            <w:tcW w:type="dxa" w:w="1600"/>
            <w:shd w:fill="F3F4F6" w:val="clear"/>
            <w:tcMar>
              <w:top w:type="dxa" w:w="60"/>
              <w:left w:type="dxa" w:w="100"/>
              <w:bottom w:type="dxa" w:w="60"/>
              <w:right w:type="dxa" w:w="100"/>
            </w:tcMar>
            <w:vAlign w:val="center"/>
          </w:tcPr>
          <w:p>
            <w:r>
              <w:rPr>
                <w:b w:val="false"/>
                <w:bCs w:val="false"/>
                <w:sz w:val="16"/>
                <w:szCs w:val="16"/>
              </w:rPr>
              <w:t xml:space="preserve">Only competitor in this set explicitly naming Claude/ChatGPT as agent sources</w:t>
            </w:r>
          </w:p>
        </w:tc>
      </w:tr>
      <w:tr>
        <w:tc>
          <w:tcPr>
            <w:tcW w:type="dxa" w:w="1500"/>
            <w:shd w:fill="FFFFFF" w:val="clear"/>
            <w:tcMar>
              <w:top w:type="dxa" w:w="60"/>
              <w:left w:type="dxa" w:w="100"/>
              <w:bottom w:type="dxa" w:w="60"/>
              <w:right w:type="dxa" w:w="100"/>
            </w:tcMar>
            <w:vAlign w:val="center"/>
          </w:tcPr>
          <w:p>
            <w:r>
              <w:rPr>
                <w:b w:val="false"/>
                <w:bCs w:val="false"/>
                <w:sz w:val="16"/>
                <w:szCs w:val="16"/>
              </w:rPr>
              <w:t xml:space="preserve">Priority Software</w:t>
            </w:r>
          </w:p>
        </w:tc>
        <w:tc>
          <w:tcPr>
            <w:tcW w:type="dxa" w:w="1400"/>
            <w:shd w:fill="FFFFFF" w:val="clear"/>
            <w:tcMar>
              <w:top w:type="dxa" w:w="60"/>
              <w:left w:type="dxa" w:w="100"/>
              <w:bottom w:type="dxa" w:w="60"/>
              <w:right w:type="dxa" w:w="100"/>
            </w:tcMar>
            <w:vAlign w:val="center"/>
          </w:tcPr>
          <w:p>
            <w:r>
              <w:rPr>
                <w:b w:val="false"/>
                <w:bCs w:val="false"/>
                <w:sz w:val="16"/>
                <w:szCs w:val="16"/>
              </w:rPr>
              <w:t xml:space="preserve">Priority (Tel Aviv)</w:t>
            </w:r>
          </w:p>
        </w:tc>
        <w:tc>
          <w:tcPr>
            <w:tcW w:type="dxa" w:w="1900"/>
            <w:shd w:fill="FFFFFF" w:val="clear"/>
            <w:tcMar>
              <w:top w:type="dxa" w:w="60"/>
              <w:left w:type="dxa" w:w="100"/>
              <w:bottom w:type="dxa" w:w="60"/>
              <w:right w:type="dxa" w:w="100"/>
            </w:tcMar>
            <w:vAlign w:val="center"/>
          </w:tcPr>
          <w:p>
            <w:r>
              <w:rPr>
                <w:b w:val="false"/>
                <w:bCs w:val="false"/>
                <w:sz w:val="16"/>
                <w:szCs w:val="16"/>
              </w:rPr>
              <w:t xml:space="preserve">Mid-market, strong in Israel/EMEA</w:t>
            </w:r>
          </w:p>
        </w:tc>
        <w:tc>
          <w:tcPr>
            <w:tcW w:type="dxa" w:w="2000"/>
            <w:shd w:fill="FFFFFF" w:val="clear"/>
            <w:tcMar>
              <w:top w:type="dxa" w:w="60"/>
              <w:left w:type="dxa" w:w="100"/>
              <w:bottom w:type="dxa" w:w="60"/>
              <w:right w:type="dxa" w:w="100"/>
            </w:tcMar>
            <w:vAlign w:val="center"/>
          </w:tcPr>
          <w:p>
            <w:r>
              <w:rPr>
                <w:b w:val="false"/>
                <w:bCs w:val="false"/>
                <w:sz w:val="16"/>
                <w:szCs w:val="16"/>
              </w:rPr>
              <w:t xml:space="preserve">"aiERP" / "Priority's AI First ERP" branding launched 2026</w:t>
            </w:r>
          </w:p>
        </w:tc>
        <w:tc>
          <w:tcPr>
            <w:tcW w:type="dxa" w:w="2100"/>
            <w:shd w:fill="FFFFFF" w:val="clear"/>
            <w:tcMar>
              <w:top w:type="dxa" w:w="60"/>
              <w:left w:type="dxa" w:w="100"/>
              <w:bottom w:type="dxa" w:w="60"/>
              <w:right w:type="dxa" w:w="100"/>
            </w:tcMar>
            <w:vAlign w:val="center"/>
          </w:tcPr>
          <w:p>
            <w:r>
              <w:rPr>
                <w:b w:val="false"/>
                <w:bCs w:val="false"/>
                <w:sz w:val="16"/>
                <w:szCs w:val="16"/>
              </w:rPr>
              <w:t xml:space="preserve">Rapid AI-first repositioning. Global brand recognition still limited outside core regions</w:t>
            </w:r>
          </w:p>
        </w:tc>
        <w:tc>
          <w:tcPr>
            <w:tcW w:type="dxa" w:w="1600"/>
            <w:shd w:fill="FFFFFF" w:val="clear"/>
            <w:tcMar>
              <w:top w:type="dxa" w:w="60"/>
              <w:left w:type="dxa" w:w="100"/>
              <w:bottom w:type="dxa" w:w="60"/>
              <w:right w:type="dxa" w:w="100"/>
            </w:tcMar>
            <w:vAlign w:val="center"/>
          </w:tcPr>
          <w:p>
            <w:r>
              <w:rPr>
                <w:b w:val="false"/>
                <w:bCs w:val="false"/>
                <w:sz w:val="16"/>
                <w:szCs w:val="16"/>
              </w:rPr>
              <w:t xml:space="preserve">Newest and most aggressive AI-first marketing claim in the mid-market tier</w:t>
            </w:r>
          </w:p>
        </w:tc>
      </w:tr>
      <w:tr>
        <w:tc>
          <w:tcPr>
            <w:tcW w:type="dxa" w:w="1500"/>
            <w:shd w:fill="F3F4F6" w:val="clear"/>
            <w:tcMar>
              <w:top w:type="dxa" w:w="60"/>
              <w:left w:type="dxa" w:w="100"/>
              <w:bottom w:type="dxa" w:w="60"/>
              <w:right w:type="dxa" w:w="100"/>
            </w:tcMar>
            <w:vAlign w:val="center"/>
          </w:tcPr>
          <w:p>
            <w:r>
              <w:rPr>
                <w:b w:val="false"/>
                <w:bCs w:val="false"/>
                <w:sz w:val="16"/>
                <w:szCs w:val="16"/>
              </w:rPr>
              <w:t xml:space="preserve">Odoo</w:t>
            </w:r>
          </w:p>
        </w:tc>
        <w:tc>
          <w:tcPr>
            <w:tcW w:type="dxa" w:w="1400"/>
            <w:shd w:fill="F3F4F6" w:val="clear"/>
            <w:tcMar>
              <w:top w:type="dxa" w:w="60"/>
              <w:left w:type="dxa" w:w="100"/>
              <w:bottom w:type="dxa" w:w="60"/>
              <w:right w:type="dxa" w:w="100"/>
            </w:tcMar>
            <w:vAlign w:val="center"/>
          </w:tcPr>
          <w:p>
            <w:r>
              <w:rPr>
                <w:b w:val="false"/>
                <w:bCs w:val="false"/>
                <w:sz w:val="16"/>
                <w:szCs w:val="16"/>
              </w:rPr>
              <w:t xml:space="preserve">Odoo (Belgium)</w:t>
            </w:r>
          </w:p>
        </w:tc>
        <w:tc>
          <w:tcPr>
            <w:tcW w:type="dxa" w:w="1900"/>
            <w:shd w:fill="F3F4F6" w:val="clear"/>
            <w:tcMar>
              <w:top w:type="dxa" w:w="60"/>
              <w:left w:type="dxa" w:w="100"/>
              <w:bottom w:type="dxa" w:w="60"/>
              <w:right w:type="dxa" w:w="100"/>
            </w:tcMar>
            <w:vAlign w:val="center"/>
          </w:tcPr>
          <w:p>
            <w:r>
              <w:rPr>
                <w:b w:val="false"/>
                <w:bCs w:val="false"/>
                <w:sz w:val="16"/>
                <w:szCs w:val="16"/>
              </w:rPr>
              <w:t xml:space="preserve">SMB to mid-market; cloud or self-hosted, huge app marketplace</w:t>
            </w:r>
          </w:p>
        </w:tc>
        <w:tc>
          <w:tcPr>
            <w:tcW w:type="dxa" w:w="2000"/>
            <w:shd w:fill="F3F4F6" w:val="clear"/>
            <w:tcMar>
              <w:top w:type="dxa" w:w="60"/>
              <w:left w:type="dxa" w:w="100"/>
              <w:bottom w:type="dxa" w:w="60"/>
              <w:right w:type="dxa" w:w="100"/>
            </w:tcMar>
            <w:vAlign w:val="center"/>
          </w:tcPr>
          <w:p>
            <w:r>
              <w:rPr>
                <w:b w:val="false"/>
                <w:bCs w:val="false"/>
                <w:sz w:val="16"/>
                <w:szCs w:val="16"/>
              </w:rPr>
              <w:t xml:space="preserve">AI app does OCR-based bill/expense scanning</w:t>
            </w:r>
          </w:p>
        </w:tc>
        <w:tc>
          <w:tcPr>
            <w:tcW w:type="dxa" w:w="2100"/>
            <w:shd w:fill="F3F4F6" w:val="clear"/>
            <w:tcMar>
              <w:top w:type="dxa" w:w="60"/>
              <w:left w:type="dxa" w:w="100"/>
              <w:bottom w:type="dxa" w:w="60"/>
              <w:right w:type="dxa" w:w="100"/>
            </w:tcMar>
            <w:vAlign w:val="center"/>
          </w:tcPr>
          <w:p>
            <w:r>
              <w:rPr>
                <w:b w:val="false"/>
                <w:bCs w:val="false"/>
                <w:sz w:val="16"/>
                <w:szCs w:val="16"/>
              </w:rPr>
              <w:t xml:space="preserve">Large mature app ecosystem, cloud or self-host. Core-overriding module customizations carry real upgrade risk</w:t>
            </w:r>
          </w:p>
        </w:tc>
        <w:tc>
          <w:tcPr>
            <w:tcW w:type="dxa" w:w="1600"/>
            <w:shd w:fill="F3F4F6" w:val="clear"/>
            <w:tcMar>
              <w:top w:type="dxa" w:w="60"/>
              <w:left w:type="dxa" w:w="100"/>
              <w:bottom w:type="dxa" w:w="60"/>
              <w:right w:type="dxa" w:w="100"/>
            </w:tcMar>
            <w:vAlign w:val="center"/>
          </w:tcPr>
          <w:p>
            <w:r>
              <w:rPr>
                <w:b w:val="false"/>
                <w:bCs w:val="false"/>
                <w:sz w:val="16"/>
                <w:szCs w:val="16"/>
              </w:rPr>
              <w:t xml:space="preserve">Pricing: One App Free $0 - Standard ~$24.90-31/user/mo - Custom ~$37-49+/user/mo</w:t>
            </w:r>
          </w:p>
        </w:tc>
      </w:tr>
      <w:tr>
        <w:tc>
          <w:tcPr>
            <w:tcW w:type="dxa" w:w="1500"/>
            <w:shd w:fill="FFFFFF" w:val="clear"/>
            <w:tcMar>
              <w:top w:type="dxa" w:w="60"/>
              <w:left w:type="dxa" w:w="100"/>
              <w:bottom w:type="dxa" w:w="60"/>
              <w:right w:type="dxa" w:w="100"/>
            </w:tcMar>
            <w:vAlign w:val="center"/>
          </w:tcPr>
          <w:p>
            <w:r>
              <w:rPr>
                <w:b w:val="false"/>
                <w:bCs w:val="false"/>
                <w:sz w:val="16"/>
                <w:szCs w:val="16"/>
              </w:rPr>
              <w:t xml:space="preserve">ERPNext (Frappe)</w:t>
            </w:r>
          </w:p>
        </w:tc>
        <w:tc>
          <w:tcPr>
            <w:tcW w:type="dxa" w:w="1400"/>
            <w:shd w:fill="FFFFFF" w:val="clear"/>
            <w:tcMar>
              <w:top w:type="dxa" w:w="60"/>
              <w:left w:type="dxa" w:w="100"/>
              <w:bottom w:type="dxa" w:w="60"/>
              <w:right w:type="dxa" w:w="100"/>
            </w:tcMar>
            <w:vAlign w:val="center"/>
          </w:tcPr>
          <w:p>
            <w:r>
              <w:rPr>
                <w:b w:val="false"/>
                <w:bCs w:val="false"/>
                <w:sz w:val="16"/>
                <w:szCs w:val="16"/>
              </w:rPr>
              <w:t xml:space="preserve">Frappe (Mumbai, India)</w:t>
            </w:r>
          </w:p>
        </w:tc>
        <w:tc>
          <w:tcPr>
            <w:tcW w:type="dxa" w:w="1900"/>
            <w:shd w:fill="FFFFFF" w:val="clear"/>
            <w:tcMar>
              <w:top w:type="dxa" w:w="60"/>
              <w:left w:type="dxa" w:w="100"/>
              <w:bottom w:type="dxa" w:w="60"/>
              <w:right w:type="dxa" w:w="100"/>
            </w:tcMar>
            <w:vAlign w:val="center"/>
          </w:tcPr>
          <w:p>
            <w:r>
              <w:rPr>
                <w:b w:val="false"/>
                <w:bCs w:val="false"/>
                <w:sz w:val="16"/>
                <w:szCs w:val="16"/>
              </w:rPr>
              <w:t xml:space="preserve">SMB/mid-market; open-source, self-host or Frappe Cloud</w:t>
            </w:r>
          </w:p>
        </w:tc>
        <w:tc>
          <w:tcPr>
            <w:tcW w:type="dxa" w:w="2000"/>
            <w:shd w:fill="FFFFFF" w:val="clear"/>
            <w:tcMar>
              <w:top w:type="dxa" w:w="60"/>
              <w:left w:type="dxa" w:w="100"/>
              <w:bottom w:type="dxa" w:w="60"/>
              <w:right w:type="dxa" w:w="100"/>
            </w:tcMar>
            <w:vAlign w:val="center"/>
          </w:tcPr>
          <w:p>
            <w:r>
              <w:rPr>
                <w:b w:val="false"/>
                <w:bCs w:val="false"/>
                <w:sz w:val="16"/>
                <w:szCs w:val="16"/>
              </w:rPr>
              <w:t xml:space="preserve">No confirmed native AI copilot found this session</w:t>
            </w:r>
          </w:p>
        </w:tc>
        <w:tc>
          <w:tcPr>
            <w:tcW w:type="dxa" w:w="2100"/>
            <w:shd w:fill="FFFFFF" w:val="clear"/>
            <w:tcMar>
              <w:top w:type="dxa" w:w="60"/>
              <w:left w:type="dxa" w:w="100"/>
              <w:bottom w:type="dxa" w:w="60"/>
              <w:right w:type="dxa" w:w="100"/>
            </w:tcMar>
            <w:vAlign w:val="center"/>
          </w:tcPr>
          <w:p>
            <w:r>
              <w:rPr>
                <w:b w:val="false"/>
                <w:bCs w:val="false"/>
                <w:sz w:val="16"/>
                <w:szCs w:val="16"/>
              </w:rPr>
              <w:t xml:space="preserve">No per-user licensing fee; "30,000+ companies" claim is vendor self-reported</w:t>
            </w:r>
          </w:p>
        </w:tc>
        <w:tc>
          <w:tcPr>
            <w:tcW w:type="dxa" w:w="1600"/>
            <w:shd w:fill="FFFFFF" w:val="clear"/>
            <w:tcMar>
              <w:top w:type="dxa" w:w="60"/>
              <w:left w:type="dxa" w:w="100"/>
              <w:bottom w:type="dxa" w:w="60"/>
              <w:right w:type="dxa" w:w="100"/>
            </w:tcMar>
            <w:vAlign w:val="center"/>
          </w:tcPr>
          <w:p>
            <w:r>
              <w:rPr>
                <w:b w:val="false"/>
                <w:bCs w:val="false"/>
                <w:sz w:val="16"/>
                <w:szCs w:val="16"/>
              </w:rPr>
              <w:t xml:space="preserve">Frappe Cloud compute-based pricing ~$14-108/mo tiers - India-origin, global reach</w:t>
            </w:r>
          </w:p>
        </w:tc>
      </w:tr>
      <w:tr>
        <w:tc>
          <w:tcPr>
            <w:tcW w:type="dxa" w:w="1500"/>
            <w:shd w:fill="F3F4F6" w:val="clear"/>
            <w:tcMar>
              <w:top w:type="dxa" w:w="60"/>
              <w:left w:type="dxa" w:w="100"/>
              <w:bottom w:type="dxa" w:w="60"/>
              <w:right w:type="dxa" w:w="100"/>
            </w:tcMar>
            <w:vAlign w:val="center"/>
          </w:tcPr>
          <w:p>
            <w:r>
              <w:rPr>
                <w:b w:val="false"/>
                <w:bCs w:val="false"/>
                <w:sz w:val="16"/>
                <w:szCs w:val="16"/>
              </w:rPr>
              <w:t xml:space="preserve">Deskera</w:t>
            </w:r>
          </w:p>
        </w:tc>
        <w:tc>
          <w:tcPr>
            <w:tcW w:type="dxa" w:w="1400"/>
            <w:shd w:fill="F3F4F6" w:val="clear"/>
            <w:tcMar>
              <w:top w:type="dxa" w:w="60"/>
              <w:left w:type="dxa" w:w="100"/>
              <w:bottom w:type="dxa" w:w="60"/>
              <w:right w:type="dxa" w:w="100"/>
            </w:tcMar>
            <w:vAlign w:val="center"/>
          </w:tcPr>
          <w:p>
            <w:r>
              <w:rPr>
                <w:b w:val="false"/>
                <w:bCs w:val="false"/>
                <w:sz w:val="16"/>
                <w:szCs w:val="16"/>
              </w:rPr>
              <w:t xml:space="preserve">Deskera</w:t>
            </w:r>
          </w:p>
        </w:tc>
        <w:tc>
          <w:tcPr>
            <w:tcW w:type="dxa" w:w="1900"/>
            <w:shd w:fill="F3F4F6" w:val="clear"/>
            <w:tcMar>
              <w:top w:type="dxa" w:w="60"/>
              <w:left w:type="dxa" w:w="100"/>
              <w:bottom w:type="dxa" w:w="60"/>
              <w:right w:type="dxa" w:w="100"/>
            </w:tcMar>
            <w:vAlign w:val="center"/>
          </w:tcPr>
          <w:p>
            <w:r>
              <w:rPr>
                <w:b w:val="false"/>
                <w:bCs w:val="false"/>
                <w:sz w:val="16"/>
                <w:szCs w:val="16"/>
              </w:rPr>
              <w:t xml:space="preserve">SMB, all-in-one (accounting+HR+CRM)</w:t>
            </w:r>
          </w:p>
        </w:tc>
        <w:tc>
          <w:tcPr>
            <w:tcW w:type="dxa" w:w="2000"/>
            <w:shd w:fill="F3F4F6" w:val="clear"/>
            <w:tcMar>
              <w:top w:type="dxa" w:w="60"/>
              <w:left w:type="dxa" w:w="100"/>
              <w:bottom w:type="dxa" w:w="60"/>
              <w:right w:type="dxa" w:w="100"/>
            </w:tcMar>
            <w:vAlign w:val="center"/>
          </w:tcPr>
          <w:p>
            <w:r>
              <w:rPr>
                <w:b w:val="false"/>
                <w:bCs w:val="false"/>
                <w:sz w:val="16"/>
                <w:szCs w:val="16"/>
              </w:rPr>
              <w:t xml:space="preserve">No verified 2024-2026 AI feature found</w:t>
            </w:r>
          </w:p>
        </w:tc>
        <w:tc>
          <w:tcPr>
            <w:tcW w:type="dxa" w:w="2100"/>
            <w:shd w:fill="F3F4F6" w:val="clear"/>
            <w:tcMar>
              <w:top w:type="dxa" w:w="60"/>
              <w:left w:type="dxa" w:w="100"/>
              <w:bottom w:type="dxa" w:w="60"/>
              <w:right w:type="dxa" w:w="100"/>
            </w:tcMar>
            <w:vAlign w:val="center"/>
          </w:tcPr>
          <w:p>
            <w:r>
              <w:rPr>
                <w:b w:val="false"/>
                <w:bCs w:val="false"/>
                <w:sz w:val="16"/>
                <w:szCs w:val="16"/>
              </w:rPr>
              <w:t xml:space="preserve">4.5/5 across review sites. No confirmed differentiated AI capability</w:t>
            </w:r>
          </w:p>
        </w:tc>
        <w:tc>
          <w:tcPr>
            <w:tcW w:type="dxa" w:w="1600"/>
            <w:shd w:fill="F3F4F6" w:val="clear"/>
            <w:tcMar>
              <w:top w:type="dxa" w:w="60"/>
              <w:left w:type="dxa" w:w="100"/>
              <w:bottom w:type="dxa" w:w="60"/>
              <w:right w:type="dxa" w:w="100"/>
            </w:tcMar>
            <w:vAlign w:val="center"/>
          </w:tcPr>
          <w:p>
            <w:r>
              <w:rPr>
                <w:b w:val="false"/>
                <w:bCs w:val="false"/>
                <w:sz w:val="16"/>
                <w:szCs w:val="16"/>
              </w:rPr>
              <w:t xml:space="preserve">Rating strength not yet matched by a confirmed AI story</w:t>
            </w:r>
          </w:p>
        </w:tc>
      </w:tr>
      <w:tr>
        <w:tc>
          <w:tcPr>
            <w:tcW w:type="dxa" w:w="1500"/>
            <w:shd w:fill="FFFFFF" w:val="clear"/>
            <w:tcMar>
              <w:top w:type="dxa" w:w="60"/>
              <w:left w:type="dxa" w:w="100"/>
              <w:bottom w:type="dxa" w:w="60"/>
              <w:right w:type="dxa" w:w="100"/>
            </w:tcMar>
            <w:vAlign w:val="center"/>
          </w:tcPr>
          <w:p>
            <w:r>
              <w:rPr>
                <w:b w:val="false"/>
                <w:bCs w:val="false"/>
                <w:sz w:val="16"/>
                <w:szCs w:val="16"/>
              </w:rPr>
              <w:t xml:space="preserve">Zoho ERP / Zoho One</w:t>
            </w:r>
          </w:p>
        </w:tc>
        <w:tc>
          <w:tcPr>
            <w:tcW w:type="dxa" w:w="1400"/>
            <w:shd w:fill="FFFFFF" w:val="clear"/>
            <w:tcMar>
              <w:top w:type="dxa" w:w="60"/>
              <w:left w:type="dxa" w:w="100"/>
              <w:bottom w:type="dxa" w:w="60"/>
              <w:right w:type="dxa" w:w="100"/>
            </w:tcMar>
            <w:vAlign w:val="center"/>
          </w:tcPr>
          <w:p>
            <w:r>
              <w:rPr>
                <w:b w:val="false"/>
                <w:bCs w:val="false"/>
                <w:sz w:val="16"/>
                <w:szCs w:val="16"/>
              </w:rPr>
              <w:t xml:space="preserve">Zoho (Chennai, India - bootstrapped, no VC)</w:t>
            </w:r>
          </w:p>
        </w:tc>
        <w:tc>
          <w:tcPr>
            <w:tcW w:type="dxa" w:w="1900"/>
            <w:shd w:fill="FFFFFF" w:val="clear"/>
            <w:tcMar>
              <w:top w:type="dxa" w:w="60"/>
              <w:left w:type="dxa" w:w="100"/>
              <w:bottom w:type="dxa" w:w="60"/>
              <w:right w:type="dxa" w:w="100"/>
            </w:tcMar>
            <w:vAlign w:val="center"/>
          </w:tcPr>
          <w:p>
            <w:r>
              <w:rPr>
                <w:b w:val="false"/>
                <w:bCs w:val="false"/>
                <w:sz w:val="16"/>
                <w:szCs w:val="16"/>
              </w:rPr>
              <w:t xml:space="preserve">SMB/mid-market, broad app suite bundling</w:t>
            </w:r>
          </w:p>
        </w:tc>
        <w:tc>
          <w:tcPr>
            <w:tcW w:type="dxa" w:w="2000"/>
            <w:shd w:fill="FFFFFF" w:val="clear"/>
            <w:tcMar>
              <w:top w:type="dxa" w:w="60"/>
              <w:left w:type="dxa" w:w="100"/>
              <w:bottom w:type="dxa" w:w="60"/>
              <w:right w:type="dxa" w:w="100"/>
            </w:tcMar>
            <w:vAlign w:val="center"/>
          </w:tcPr>
          <w:p>
            <w:r>
              <w:rPr>
                <w:b w:val="false"/>
                <w:bCs w:val="false"/>
                <w:sz w:val="16"/>
                <w:szCs w:val="16"/>
              </w:rPr>
              <w:t xml:space="preserve">Zia AI assistant across Zoho suite</w:t>
            </w:r>
          </w:p>
        </w:tc>
        <w:tc>
          <w:tcPr>
            <w:tcW w:type="dxa" w:w="2100"/>
            <w:shd w:fill="FFFFFF" w:val="clear"/>
            <w:tcMar>
              <w:top w:type="dxa" w:w="60"/>
              <w:left w:type="dxa" w:w="100"/>
              <w:bottom w:type="dxa" w:w="60"/>
              <w:right w:type="dxa" w:w="100"/>
            </w:tcMar>
            <w:vAlign w:val="center"/>
          </w:tcPr>
          <w:p>
            <w:r>
              <w:rPr>
                <w:b w:val="false"/>
                <w:bCs w:val="false"/>
                <w:sz w:val="16"/>
                <w:szCs w:val="16"/>
              </w:rPr>
              <w:t xml:space="preserve">Bootstrapped profitability + broad app bundle. Pricing figure (~$90/user/mo for Zoho One) sourced from a regionally-localized page, flagged uncertain</w:t>
            </w:r>
          </w:p>
        </w:tc>
        <w:tc>
          <w:tcPr>
            <w:tcW w:type="dxa" w:w="1600"/>
            <w:shd w:fill="FFFFFF" w:val="clear"/>
            <w:tcMar>
              <w:top w:type="dxa" w:w="60"/>
              <w:left w:type="dxa" w:w="100"/>
              <w:bottom w:type="dxa" w:w="60"/>
              <w:right w:type="dxa" w:w="100"/>
            </w:tcMar>
            <w:vAlign w:val="center"/>
          </w:tcPr>
          <w:p>
            <w:r>
              <w:rPr>
                <w:b w:val="false"/>
                <w:bCs w:val="false"/>
                <w:sz w:val="16"/>
                <w:szCs w:val="16"/>
              </w:rPr>
              <w:t xml:space="preserve">India-origin, global ambitions - distinct from India-domestic accounting players below</w:t>
            </w:r>
          </w:p>
        </w:tc>
      </w:tr>
      <w:tr>
        <w:tc>
          <w:tcPr>
            <w:tcW w:type="dxa" w:w="1500"/>
            <w:shd w:fill="F3F4F6" w:val="clear"/>
            <w:tcMar>
              <w:top w:type="dxa" w:w="60"/>
              <w:left w:type="dxa" w:w="100"/>
              <w:bottom w:type="dxa" w:w="60"/>
              <w:right w:type="dxa" w:w="100"/>
            </w:tcMar>
            <w:vAlign w:val="center"/>
          </w:tcPr>
          <w:p>
            <w:r>
              <w:rPr>
                <w:b w:val="false"/>
                <w:bCs w:val="false"/>
                <w:sz w:val="16"/>
                <w:szCs w:val="16"/>
              </w:rPr>
              <w:t xml:space="preserve">TallyPrime</w:t>
            </w:r>
          </w:p>
        </w:tc>
        <w:tc>
          <w:tcPr>
            <w:tcW w:type="dxa" w:w="1400"/>
            <w:shd w:fill="F3F4F6" w:val="clear"/>
            <w:tcMar>
              <w:top w:type="dxa" w:w="60"/>
              <w:left w:type="dxa" w:w="100"/>
              <w:bottom w:type="dxa" w:w="60"/>
              <w:right w:type="dxa" w:w="100"/>
            </w:tcMar>
            <w:vAlign w:val="center"/>
          </w:tcPr>
          <w:p>
            <w:r>
              <w:rPr>
                <w:b w:val="false"/>
                <w:bCs w:val="false"/>
                <w:sz w:val="16"/>
                <w:szCs w:val="16"/>
              </w:rPr>
              <w:t xml:space="preserve">Tally Solutions (Bangalore, India)</w:t>
            </w:r>
          </w:p>
        </w:tc>
        <w:tc>
          <w:tcPr>
            <w:tcW w:type="dxa" w:w="1900"/>
            <w:shd w:fill="F3F4F6" w:val="clear"/>
            <w:tcMar>
              <w:top w:type="dxa" w:w="60"/>
              <w:left w:type="dxa" w:w="100"/>
              <w:bottom w:type="dxa" w:w="60"/>
              <w:right w:type="dxa" w:w="100"/>
            </w:tcMar>
            <w:vAlign w:val="center"/>
          </w:tcPr>
          <w:p>
            <w:r>
              <w:rPr>
                <w:b w:val="false"/>
                <w:bCs w:val="false"/>
                <w:sz w:val="16"/>
                <w:szCs w:val="16"/>
              </w:rPr>
              <w:t xml:space="preserve">India SMB accounting/GST compliance - not a planning ERP</w:t>
            </w:r>
          </w:p>
        </w:tc>
        <w:tc>
          <w:tcPr>
            <w:tcW w:type="dxa" w:w="2000"/>
            <w:shd w:fill="F3F4F6" w:val="clear"/>
            <w:tcMar>
              <w:top w:type="dxa" w:w="60"/>
              <w:left w:type="dxa" w:w="100"/>
              <w:bottom w:type="dxa" w:w="60"/>
              <w:right w:type="dxa" w:w="100"/>
            </w:tcMar>
            <w:vAlign w:val="center"/>
          </w:tcPr>
          <w:p>
            <w:r>
              <w:rPr>
                <w:b w:val="false"/>
                <w:bCs w:val="false"/>
                <w:sz w:val="16"/>
                <w:szCs w:val="16"/>
              </w:rPr>
              <w:t xml:space="preserve">"TallyIra" AI document-processing feature in early access</w:t>
            </w:r>
          </w:p>
        </w:tc>
        <w:tc>
          <w:tcPr>
            <w:tcW w:type="dxa" w:w="2100"/>
            <w:shd w:fill="F3F4F6" w:val="clear"/>
            <w:tcMar>
              <w:top w:type="dxa" w:w="60"/>
              <w:left w:type="dxa" w:w="100"/>
              <w:bottom w:type="dxa" w:w="60"/>
              <w:right w:type="dxa" w:w="100"/>
            </w:tcMar>
            <w:vAlign w:val="center"/>
          </w:tcPr>
          <w:p>
            <w:r>
              <w:rPr>
                <w:b w:val="false"/>
                <w:bCs w:val="false"/>
                <w:sz w:val="16"/>
                <w:szCs w:val="16"/>
              </w:rPr>
              <w:t xml:space="preserve">"2.7M+ businesses" claim, dominant India SMB mindshare. Explicitly not a manufacturing-planning ERP</w:t>
            </w:r>
          </w:p>
        </w:tc>
        <w:tc>
          <w:tcPr>
            <w:tcW w:type="dxa" w:w="1600"/>
            <w:shd w:fill="F3F4F6" w:val="clear"/>
            <w:tcMar>
              <w:top w:type="dxa" w:w="60"/>
              <w:left w:type="dxa" w:w="100"/>
              <w:bottom w:type="dxa" w:w="60"/>
              <w:right w:type="dxa" w:w="100"/>
            </w:tcMar>
            <w:vAlign w:val="center"/>
          </w:tcPr>
          <w:p>
            <w:r>
              <w:rPr>
                <w:b w:val="false"/>
                <w:bCs w:val="false"/>
                <w:sz w:val="16"/>
                <w:szCs w:val="16"/>
              </w:rPr>
              <w:t xml:space="preserve">Accounting/compliance-led only - see India Market Deep-Dive</w:t>
            </w:r>
          </w:p>
        </w:tc>
      </w:tr>
    </w:tbl>
    <w:p>
      <w:r>
        <w:br w:type="page"/>
      </w:r>
    </w:p>
    <w:p>
      <w:pPr>
        <w:pStyle w:val="Heading1"/>
        <w:spacing w:after="200" w:before="400"/>
      </w:pPr>
      <w:r>
        <w:t xml:space="preserve">5. Tier 3: SMB, Open-Source &amp; Inventory-Led Platforms (9 products)</w:t>
      </w:r>
    </w:p>
    <w:p>
      <w:pPr>
        <w:spacing w:after="160" w:line="276"/>
      </w:pPr>
      <w:r>
        <w:rPr>
          <w:sz w:val="21"/>
          <w:szCs w:val="21"/>
        </w:rPr>
        <w:t xml:space="preserve">SMB-focused tools, several of which are inventory/WMS-led with thin or absent native accounting (relying on QuickBooks/Xero integration instead), plus four India-specific players.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900"/>
        <w:gridCol w:w="2000"/>
        <w:gridCol w:w="2100"/>
        <w:gridCol w:w="1600"/>
      </w:tblGrid>
      <w:tr>
        <w:trPr>
          <w:tblHeader/>
        </w:trPr>
        <w:tc>
          <w:tcPr>
            <w:tcW w:type="dxa" w:w="1500"/>
            <w:shd w:fill="1F2937" w:val="clear"/>
            <w:tcMar>
              <w:top w:type="dxa" w:w="60"/>
              <w:left w:type="dxa" w:w="100"/>
              <w:bottom w:type="dxa" w:w="60"/>
              <w:right w:type="dxa" w:w="100"/>
            </w:tcMar>
            <w:vAlign w:val="center"/>
          </w:tcPr>
          <w:p>
            <w:r>
              <w:rPr>
                <w:b/>
                <w:bCs/>
                <w:color w:val="FFFFFF"/>
                <w:sz w:val="17"/>
                <w:szCs w:val="17"/>
              </w:rPr>
              <w:t xml:space="preserve">Product</w:t>
            </w:r>
          </w:p>
        </w:tc>
        <w:tc>
          <w:tcPr>
            <w:tcW w:type="dxa" w:w="1400"/>
            <w:shd w:fill="1F2937" w:val="clear"/>
            <w:tcMar>
              <w:top w:type="dxa" w:w="60"/>
              <w:left w:type="dxa" w:w="100"/>
              <w:bottom w:type="dxa" w:w="60"/>
              <w:right w:type="dxa" w:w="100"/>
            </w:tcMar>
            <w:vAlign w:val="center"/>
          </w:tcPr>
          <w:p>
            <w:r>
              <w:rPr>
                <w:b/>
                <w:bCs/>
                <w:color w:val="FFFFFF"/>
                <w:sz w:val="17"/>
                <w:szCs w:val="17"/>
              </w:rPr>
              <w:t xml:space="preserve">Vendor</w:t>
            </w:r>
          </w:p>
        </w:tc>
        <w:tc>
          <w:tcPr>
            <w:tcW w:type="dxa" w:w="1900"/>
            <w:shd w:fill="1F2937" w:val="clear"/>
            <w:tcMar>
              <w:top w:type="dxa" w:w="60"/>
              <w:left w:type="dxa" w:w="100"/>
              <w:bottom w:type="dxa" w:w="60"/>
              <w:right w:type="dxa" w:w="100"/>
            </w:tcMar>
            <w:vAlign w:val="center"/>
          </w:tcPr>
          <w:p>
            <w:r>
              <w:rPr>
                <w:b/>
                <w:bCs/>
                <w:color w:val="FFFFFF"/>
                <w:sz w:val="17"/>
                <w:szCs w:val="17"/>
              </w:rPr>
              <w:t xml:space="preserve">Target / Deployment</w:t>
            </w:r>
          </w:p>
        </w:tc>
        <w:tc>
          <w:tcPr>
            <w:tcW w:type="dxa" w:w="2000"/>
            <w:shd w:fill="1F2937" w:val="clear"/>
            <w:tcMar>
              <w:top w:type="dxa" w:w="60"/>
              <w:left w:type="dxa" w:w="100"/>
              <w:bottom w:type="dxa" w:w="60"/>
              <w:right w:type="dxa" w:w="100"/>
            </w:tcMar>
            <w:vAlign w:val="center"/>
          </w:tcPr>
          <w:p>
            <w:r>
              <w:rPr>
                <w:b/>
                <w:bCs/>
                <w:color w:val="FFFFFF"/>
                <w:sz w:val="17"/>
                <w:szCs w:val="17"/>
              </w:rPr>
              <w:t xml:space="preserve">2024-26 AI Move</w:t>
            </w:r>
          </w:p>
        </w:tc>
        <w:tc>
          <w:tcPr>
            <w:tcW w:type="dxa" w:w="2100"/>
            <w:shd w:fill="1F2937" w:val="clear"/>
            <w:tcMar>
              <w:top w:type="dxa" w:w="60"/>
              <w:left w:type="dxa" w:w="100"/>
              <w:bottom w:type="dxa" w:w="60"/>
              <w:right w:type="dxa" w:w="100"/>
            </w:tcMar>
            <w:vAlign w:val="center"/>
          </w:tcPr>
          <w:p>
            <w:r>
              <w:rPr>
                <w:b/>
                <w:bCs/>
                <w:color w:val="FFFFFF"/>
                <w:sz w:val="17"/>
                <w:szCs w:val="17"/>
              </w:rPr>
              <w:t xml:space="preserve">Strength / Weakness</w:t>
            </w:r>
          </w:p>
        </w:tc>
        <w:tc>
          <w:tcPr>
            <w:tcW w:type="dxa" w:w="1600"/>
            <w:shd w:fill="1F2937" w:val="clear"/>
            <w:tcMar>
              <w:top w:type="dxa" w:w="60"/>
              <w:left w:type="dxa" w:w="100"/>
              <w:bottom w:type="dxa" w:w="60"/>
              <w:right w:type="dxa" w:w="100"/>
            </w:tcMar>
            <w:vAlign w:val="center"/>
          </w:tcPr>
          <w:p>
            <w:r>
              <w:rPr>
                <w:b/>
                <w:bCs/>
                <w:color w:val="FFFFFF"/>
                <w:sz w:val="17"/>
                <w:szCs w:val="17"/>
              </w:rPr>
              <w:t xml:space="preserve">Notes</w:t>
            </w:r>
          </w:p>
        </w:tc>
      </w:tr>
      <w:tr>
        <w:tc>
          <w:tcPr>
            <w:tcW w:type="dxa" w:w="1500"/>
            <w:shd w:fill="FFFFFF" w:val="clear"/>
            <w:tcMar>
              <w:top w:type="dxa" w:w="60"/>
              <w:left w:type="dxa" w:w="100"/>
              <w:bottom w:type="dxa" w:w="60"/>
              <w:right w:type="dxa" w:w="100"/>
            </w:tcMar>
            <w:vAlign w:val="center"/>
          </w:tcPr>
          <w:p>
            <w:r>
              <w:rPr>
                <w:b w:val="false"/>
                <w:bCs w:val="false"/>
                <w:sz w:val="16"/>
                <w:szCs w:val="16"/>
              </w:rPr>
              <w:t xml:space="preserve">Katana MRP</w:t>
            </w:r>
          </w:p>
        </w:tc>
        <w:tc>
          <w:tcPr>
            <w:tcW w:type="dxa" w:w="1400"/>
            <w:shd w:fill="FFFFFF" w:val="clear"/>
            <w:tcMar>
              <w:top w:type="dxa" w:w="60"/>
              <w:left w:type="dxa" w:w="100"/>
              <w:bottom w:type="dxa" w:w="60"/>
              <w:right w:type="dxa" w:w="100"/>
            </w:tcMar>
            <w:vAlign w:val="center"/>
          </w:tcPr>
          <w:p>
            <w:r>
              <w:rPr>
                <w:b w:val="false"/>
                <w:bCs w:val="false"/>
                <w:sz w:val="16"/>
                <w:szCs w:val="16"/>
              </w:rPr>
              <w:t xml:space="preserve">Katana</w:t>
            </w:r>
          </w:p>
        </w:tc>
        <w:tc>
          <w:tcPr>
            <w:tcW w:type="dxa" w:w="1900"/>
            <w:shd w:fill="FFFFFF" w:val="clear"/>
            <w:tcMar>
              <w:top w:type="dxa" w:w="60"/>
              <w:left w:type="dxa" w:w="100"/>
              <w:bottom w:type="dxa" w:w="60"/>
              <w:right w:type="dxa" w:w="100"/>
            </w:tcMar>
            <w:vAlign w:val="center"/>
          </w:tcPr>
          <w:p>
            <w:r>
              <w:rPr>
                <w:b w:val="false"/>
                <w:bCs w:val="false"/>
                <w:sz w:val="16"/>
                <w:szCs w:val="16"/>
              </w:rPr>
              <w:t xml:space="preserve">SMB manufacturing, inventory/MRP-led</w:t>
            </w:r>
          </w:p>
        </w:tc>
        <w:tc>
          <w:tcPr>
            <w:tcW w:type="dxa" w:w="2000"/>
            <w:shd w:fill="FFFFFF" w:val="clear"/>
            <w:tcMar>
              <w:top w:type="dxa" w:w="60"/>
              <w:left w:type="dxa" w:w="100"/>
              <w:bottom w:type="dxa" w:w="60"/>
              <w:right w:type="dxa" w:w="100"/>
            </w:tcMar>
            <w:vAlign w:val="center"/>
          </w:tcPr>
          <w:p>
            <w:r>
              <w:rPr>
                <w:b w:val="false"/>
                <w:bCs w:val="false"/>
                <w:sz w:val="16"/>
                <w:szCs w:val="16"/>
              </w:rPr>
              <w:t xml:space="preserve">AI Assistant (Nov 2024), AI replenishment (Jan 2026), MCP integrations (June 2026) - all vendor-blog confirmed</w:t>
            </w:r>
          </w:p>
        </w:tc>
        <w:tc>
          <w:tcPr>
            <w:tcW w:type="dxa" w:w="2100"/>
            <w:shd w:fill="FFFFFF" w:val="clear"/>
            <w:tcMar>
              <w:top w:type="dxa" w:w="60"/>
              <w:left w:type="dxa" w:w="100"/>
              <w:bottom w:type="dxa" w:w="60"/>
              <w:right w:type="dxa" w:w="100"/>
            </w:tcMar>
            <w:vAlign w:val="center"/>
          </w:tcPr>
          <w:p>
            <w:r>
              <w:rPr>
                <w:b w:val="false"/>
                <w:bCs w:val="false"/>
                <w:sz w:val="16"/>
                <w:szCs w:val="16"/>
              </w:rPr>
              <w:t xml:space="preserve">Genuinely fast-moving AI roadmap with verifiable dates. No native GL - relies on QuickBooks/Xero integration</w:t>
            </w:r>
          </w:p>
        </w:tc>
        <w:tc>
          <w:tcPr>
            <w:tcW w:type="dxa" w:w="1600"/>
            <w:shd w:fill="FFFFFF" w:val="clear"/>
            <w:tcMar>
              <w:top w:type="dxa" w:w="60"/>
              <w:left w:type="dxa" w:w="100"/>
              <w:bottom w:type="dxa" w:w="60"/>
              <w:right w:type="dxa" w:w="100"/>
            </w:tcMar>
            <w:vAlign w:val="center"/>
          </w:tcPr>
          <w:p>
            <w:r>
              <w:rPr>
                <w:b w:val="false"/>
                <w:bCs w:val="false"/>
                <w:sz w:val="16"/>
                <w:szCs w:val="16"/>
              </w:rPr>
              <w:t xml:space="preserve">Best-verified AI cadence of any Tier-3 product in this research</w:t>
            </w:r>
          </w:p>
        </w:tc>
      </w:tr>
      <w:tr>
        <w:tc>
          <w:tcPr>
            <w:tcW w:type="dxa" w:w="1500"/>
            <w:shd w:fill="F3F4F6" w:val="clear"/>
            <w:tcMar>
              <w:top w:type="dxa" w:w="60"/>
              <w:left w:type="dxa" w:w="100"/>
              <w:bottom w:type="dxa" w:w="60"/>
              <w:right w:type="dxa" w:w="100"/>
            </w:tcMar>
            <w:vAlign w:val="center"/>
          </w:tcPr>
          <w:p>
            <w:r>
              <w:rPr>
                <w:b w:val="false"/>
                <w:bCs w:val="false"/>
                <w:sz w:val="16"/>
                <w:szCs w:val="16"/>
              </w:rPr>
              <w:t xml:space="preserve">Cin7 Core</w:t>
            </w:r>
          </w:p>
        </w:tc>
        <w:tc>
          <w:tcPr>
            <w:tcW w:type="dxa" w:w="1400"/>
            <w:shd w:fill="F3F4F6" w:val="clear"/>
            <w:tcMar>
              <w:top w:type="dxa" w:w="60"/>
              <w:left w:type="dxa" w:w="100"/>
              <w:bottom w:type="dxa" w:w="60"/>
              <w:right w:type="dxa" w:w="100"/>
            </w:tcMar>
            <w:vAlign w:val="center"/>
          </w:tcPr>
          <w:p>
            <w:r>
              <w:rPr>
                <w:b w:val="false"/>
                <w:bCs w:val="false"/>
                <w:sz w:val="16"/>
                <w:szCs w:val="16"/>
              </w:rPr>
              <w:t xml:space="preserve">Cin7</w:t>
            </w:r>
          </w:p>
        </w:tc>
        <w:tc>
          <w:tcPr>
            <w:tcW w:type="dxa" w:w="1900"/>
            <w:shd w:fill="F3F4F6" w:val="clear"/>
            <w:tcMar>
              <w:top w:type="dxa" w:w="60"/>
              <w:left w:type="dxa" w:w="100"/>
              <w:bottom w:type="dxa" w:w="60"/>
              <w:right w:type="dxa" w:w="100"/>
            </w:tcMar>
            <w:vAlign w:val="center"/>
          </w:tcPr>
          <w:p>
            <w:r>
              <w:rPr>
                <w:b w:val="false"/>
                <w:bCs w:val="false"/>
                <w:sz w:val="16"/>
                <w:szCs w:val="16"/>
              </w:rPr>
              <w:t xml:space="preserve">SMB/mid-market inventory &amp; order management</w:t>
            </w:r>
          </w:p>
        </w:tc>
        <w:tc>
          <w:tcPr>
            <w:tcW w:type="dxa" w:w="2000"/>
            <w:shd w:fill="F3F4F6" w:val="clear"/>
            <w:tcMar>
              <w:top w:type="dxa" w:w="60"/>
              <w:left w:type="dxa" w:w="100"/>
              <w:bottom w:type="dxa" w:w="60"/>
              <w:right w:type="dxa" w:w="100"/>
            </w:tcMar>
            <w:vAlign w:val="center"/>
          </w:tcPr>
          <w:p>
            <w:r>
              <w:rPr>
                <w:b w:val="false"/>
                <w:bCs w:val="false"/>
                <w:sz w:val="16"/>
                <w:szCs w:val="16"/>
              </w:rPr>
              <w:t xml:space="preserve">"ForesightAI" + natural-language "Ask Me Anything" query</w:t>
            </w:r>
          </w:p>
        </w:tc>
        <w:tc>
          <w:tcPr>
            <w:tcW w:type="dxa" w:w="2100"/>
            <w:shd w:fill="F3F4F6" w:val="clear"/>
            <w:tcMar>
              <w:top w:type="dxa" w:w="60"/>
              <w:left w:type="dxa" w:w="100"/>
              <w:bottom w:type="dxa" w:w="60"/>
              <w:right w:type="dxa" w:w="100"/>
            </w:tcMar>
            <w:vAlign w:val="center"/>
          </w:tcPr>
          <w:p>
            <w:r>
              <w:rPr>
                <w:b w:val="false"/>
                <w:bCs w:val="false"/>
                <w:sz w:val="16"/>
                <w:szCs w:val="16"/>
              </w:rPr>
              <w:t xml:space="preserve">Large review base (336 on G2). No native accounting core</w:t>
            </w:r>
          </w:p>
        </w:tc>
        <w:tc>
          <w:tcPr>
            <w:tcW w:type="dxa" w:w="1600"/>
            <w:shd w:fill="F3F4F6" w:val="clear"/>
            <w:tcMar>
              <w:top w:type="dxa" w:w="60"/>
              <w:left w:type="dxa" w:w="100"/>
              <w:bottom w:type="dxa" w:w="60"/>
              <w:right w:type="dxa" w:w="100"/>
            </w:tcMar>
            <w:vAlign w:val="center"/>
          </w:tcPr>
          <w:p>
            <w:r>
              <w:rPr>
                <w:b w:val="false"/>
                <w:bCs w:val="false"/>
                <w:sz w:val="16"/>
                <w:szCs w:val="16"/>
              </w:rPr>
              <w:t xml:space="preserve">Inventory-depth product, not a finance system</w:t>
            </w:r>
          </w:p>
        </w:tc>
      </w:tr>
      <w:tr>
        <w:tc>
          <w:tcPr>
            <w:tcW w:type="dxa" w:w="1500"/>
            <w:shd w:fill="FFFFFF" w:val="clear"/>
            <w:tcMar>
              <w:top w:type="dxa" w:w="60"/>
              <w:left w:type="dxa" w:w="100"/>
              <w:bottom w:type="dxa" w:w="60"/>
              <w:right w:type="dxa" w:w="100"/>
            </w:tcMar>
            <w:vAlign w:val="center"/>
          </w:tcPr>
          <w:p>
            <w:r>
              <w:rPr>
                <w:b w:val="false"/>
                <w:bCs w:val="false"/>
                <w:sz w:val="16"/>
                <w:szCs w:val="16"/>
              </w:rPr>
              <w:t xml:space="preserve">Unleashed Software</w:t>
            </w:r>
          </w:p>
        </w:tc>
        <w:tc>
          <w:tcPr>
            <w:tcW w:type="dxa" w:w="1400"/>
            <w:shd w:fill="FFFFFF" w:val="clear"/>
            <w:tcMar>
              <w:top w:type="dxa" w:w="60"/>
              <w:left w:type="dxa" w:w="100"/>
              <w:bottom w:type="dxa" w:w="60"/>
              <w:right w:type="dxa" w:w="100"/>
            </w:tcMar>
            <w:vAlign w:val="center"/>
          </w:tcPr>
          <w:p>
            <w:r>
              <w:rPr>
                <w:b w:val="false"/>
                <w:bCs w:val="false"/>
                <w:sz w:val="16"/>
                <w:szCs w:val="16"/>
              </w:rPr>
              <w:t xml:space="preserve">Unleashed</w:t>
            </w:r>
          </w:p>
        </w:tc>
        <w:tc>
          <w:tcPr>
            <w:tcW w:type="dxa" w:w="1900"/>
            <w:shd w:fill="FFFFFF" w:val="clear"/>
            <w:tcMar>
              <w:top w:type="dxa" w:w="60"/>
              <w:left w:type="dxa" w:w="100"/>
              <w:bottom w:type="dxa" w:w="60"/>
              <w:right w:type="dxa" w:w="100"/>
            </w:tcMar>
            <w:vAlign w:val="center"/>
          </w:tcPr>
          <w:p>
            <w:r>
              <w:rPr>
                <w:b w:val="false"/>
                <w:bCs w:val="false"/>
                <w:sz w:val="16"/>
                <w:szCs w:val="16"/>
              </w:rPr>
              <w:t xml:space="preserve">SMB inventory management</w:t>
            </w:r>
          </w:p>
        </w:tc>
        <w:tc>
          <w:tcPr>
            <w:tcW w:type="dxa" w:w="2000"/>
            <w:shd w:fill="FFFFFF" w:val="clear"/>
            <w:tcMar>
              <w:top w:type="dxa" w:w="60"/>
              <w:left w:type="dxa" w:w="100"/>
              <w:bottom w:type="dxa" w:w="60"/>
              <w:right w:type="dxa" w:w="100"/>
            </w:tcMar>
            <w:vAlign w:val="center"/>
          </w:tcPr>
          <w:p>
            <w:r>
              <w:rPr>
                <w:b w:val="false"/>
                <w:bCs w:val="false"/>
                <w:sz w:val="16"/>
                <w:szCs w:val="16"/>
              </w:rPr>
              <w:t xml:space="preserve">"Access Evo" Copilot</w:t>
            </w:r>
          </w:p>
        </w:tc>
        <w:tc>
          <w:tcPr>
            <w:tcW w:type="dxa" w:w="2100"/>
            <w:shd w:fill="FFFFFF" w:val="clear"/>
            <w:tcMar>
              <w:top w:type="dxa" w:w="60"/>
              <w:left w:type="dxa" w:w="100"/>
              <w:bottom w:type="dxa" w:w="60"/>
              <w:right w:type="dxa" w:w="100"/>
            </w:tcMar>
            <w:vAlign w:val="center"/>
          </w:tcPr>
          <w:p>
            <w:r>
              <w:rPr>
                <w:b w:val="false"/>
                <w:bCs w:val="false"/>
                <w:sz w:val="16"/>
                <w:szCs w:val="16"/>
              </w:rPr>
              <w:t xml:space="preserve">Solid niche inventory tool</w:t>
            </w:r>
          </w:p>
        </w:tc>
        <w:tc>
          <w:tcPr>
            <w:tcW w:type="dxa" w:w="1600"/>
            <w:shd w:fill="FFFFFF" w:val="clear"/>
            <w:tcMar>
              <w:top w:type="dxa" w:w="60"/>
              <w:left w:type="dxa" w:w="100"/>
              <w:bottom w:type="dxa" w:w="60"/>
              <w:right w:type="dxa" w:w="100"/>
            </w:tcMar>
            <w:vAlign w:val="center"/>
          </w:tcPr>
          <w:p>
            <w:r>
              <w:rPr>
                <w:b w:val="false"/>
                <w:bCs w:val="false"/>
                <w:sz w:val="16"/>
                <w:szCs w:val="16"/>
              </w:rPr>
              <w:t xml:space="preserve">Only 28 G2 reviews - small-sample confidence flag</w:t>
            </w:r>
          </w:p>
        </w:tc>
      </w:tr>
      <w:tr>
        <w:tc>
          <w:tcPr>
            <w:tcW w:type="dxa" w:w="1500"/>
            <w:shd w:fill="F3F4F6" w:val="clear"/>
            <w:tcMar>
              <w:top w:type="dxa" w:w="60"/>
              <w:left w:type="dxa" w:w="100"/>
              <w:bottom w:type="dxa" w:w="60"/>
              <w:right w:type="dxa" w:w="100"/>
            </w:tcMar>
            <w:vAlign w:val="center"/>
          </w:tcPr>
          <w:p>
            <w:r>
              <w:rPr>
                <w:b w:val="false"/>
                <w:bCs w:val="false"/>
                <w:sz w:val="16"/>
                <w:szCs w:val="16"/>
              </w:rPr>
              <w:t xml:space="preserve">Fishbowl Inventory</w:t>
            </w:r>
          </w:p>
        </w:tc>
        <w:tc>
          <w:tcPr>
            <w:tcW w:type="dxa" w:w="1400"/>
            <w:shd w:fill="F3F4F6" w:val="clear"/>
            <w:tcMar>
              <w:top w:type="dxa" w:w="60"/>
              <w:left w:type="dxa" w:w="100"/>
              <w:bottom w:type="dxa" w:w="60"/>
              <w:right w:type="dxa" w:w="100"/>
            </w:tcMar>
            <w:vAlign w:val="center"/>
          </w:tcPr>
          <w:p>
            <w:r>
              <w:rPr>
                <w:b w:val="false"/>
                <w:bCs w:val="false"/>
                <w:sz w:val="16"/>
                <w:szCs w:val="16"/>
              </w:rPr>
              <w:t xml:space="preserve">Fishbowl</w:t>
            </w:r>
          </w:p>
        </w:tc>
        <w:tc>
          <w:tcPr>
            <w:tcW w:type="dxa" w:w="1900"/>
            <w:shd w:fill="F3F4F6" w:val="clear"/>
            <w:tcMar>
              <w:top w:type="dxa" w:w="60"/>
              <w:left w:type="dxa" w:w="100"/>
              <w:bottom w:type="dxa" w:w="60"/>
              <w:right w:type="dxa" w:w="100"/>
            </w:tcMar>
            <w:vAlign w:val="center"/>
          </w:tcPr>
          <w:p>
            <w:r>
              <w:rPr>
                <w:b w:val="false"/>
                <w:bCs w:val="false"/>
                <w:sz w:val="16"/>
                <w:szCs w:val="16"/>
              </w:rPr>
              <w:t xml:space="preserve">SMB inventory/warehouse, QuickBooks-integrated</w:t>
            </w:r>
          </w:p>
        </w:tc>
        <w:tc>
          <w:tcPr>
            <w:tcW w:type="dxa" w:w="2000"/>
            <w:shd w:fill="F3F4F6" w:val="clear"/>
            <w:tcMar>
              <w:top w:type="dxa" w:w="60"/>
              <w:left w:type="dxa" w:w="100"/>
              <w:bottom w:type="dxa" w:w="60"/>
              <w:right w:type="dxa" w:w="100"/>
            </w:tcMar>
            <w:vAlign w:val="center"/>
          </w:tcPr>
          <w:p>
            <w:r>
              <w:rPr>
                <w:b w:val="false"/>
                <w:bCs w:val="false"/>
                <w:sz w:val="16"/>
                <w:szCs w:val="16"/>
              </w:rPr>
              <w:t xml:space="preserve">"Athena" AI Insights</w:t>
            </w:r>
          </w:p>
        </w:tc>
        <w:tc>
          <w:tcPr>
            <w:tcW w:type="dxa" w:w="2100"/>
            <w:shd w:fill="F3F4F6" w:val="clear"/>
            <w:tcMar>
              <w:top w:type="dxa" w:w="60"/>
              <w:left w:type="dxa" w:w="100"/>
              <w:bottom w:type="dxa" w:w="60"/>
              <w:right w:type="dxa" w:w="100"/>
            </w:tcMar>
            <w:vAlign w:val="center"/>
          </w:tcPr>
          <w:p>
            <w:r>
              <w:rPr>
                <w:b w:val="false"/>
                <w:bCs w:val="false"/>
                <w:sz w:val="16"/>
                <w:szCs w:val="16"/>
              </w:rPr>
              <w:t xml:space="preserve">Case-study "8% sales increase" is single-source/unverified vendor claim</w:t>
            </w:r>
          </w:p>
        </w:tc>
        <w:tc>
          <w:tcPr>
            <w:tcW w:type="dxa" w:w="1600"/>
            <w:shd w:fill="F3F4F6" w:val="clear"/>
            <w:tcMar>
              <w:top w:type="dxa" w:w="60"/>
              <w:left w:type="dxa" w:w="100"/>
              <w:bottom w:type="dxa" w:w="60"/>
              <w:right w:type="dxa" w:w="100"/>
            </w:tcMar>
            <w:vAlign w:val="center"/>
          </w:tcPr>
          <w:p>
            <w:r>
              <w:rPr>
                <w:b w:val="false"/>
                <w:bCs w:val="false"/>
                <w:sz w:val="16"/>
                <w:szCs w:val="16"/>
              </w:rPr>
              <w:t xml:space="preserve">275 G2 reviews - larger sample than Unleashed</w:t>
            </w:r>
          </w:p>
        </w:tc>
      </w:tr>
      <w:tr>
        <w:tc>
          <w:tcPr>
            <w:tcW w:type="dxa" w:w="1500"/>
            <w:shd w:fill="FFFFFF" w:val="clear"/>
            <w:tcMar>
              <w:top w:type="dxa" w:w="60"/>
              <w:left w:type="dxa" w:w="100"/>
              <w:bottom w:type="dxa" w:w="60"/>
              <w:right w:type="dxa" w:w="100"/>
            </w:tcMar>
            <w:vAlign w:val="center"/>
          </w:tcPr>
          <w:p>
            <w:r>
              <w:rPr>
                <w:b w:val="false"/>
                <w:bCs w:val="false"/>
                <w:sz w:val="16"/>
                <w:szCs w:val="16"/>
              </w:rPr>
              <w:t xml:space="preserve">Brightpearl</w:t>
            </w:r>
          </w:p>
        </w:tc>
        <w:tc>
          <w:tcPr>
            <w:tcW w:type="dxa" w:w="1400"/>
            <w:shd w:fill="FFFFFF" w:val="clear"/>
            <w:tcMar>
              <w:top w:type="dxa" w:w="60"/>
              <w:left w:type="dxa" w:w="100"/>
              <w:bottom w:type="dxa" w:w="60"/>
              <w:right w:type="dxa" w:w="100"/>
            </w:tcMar>
            <w:vAlign w:val="center"/>
          </w:tcPr>
          <w:p>
            <w:r>
              <w:rPr>
                <w:b w:val="false"/>
                <w:bCs w:val="false"/>
                <w:sz w:val="16"/>
                <w:szCs w:val="16"/>
              </w:rPr>
              <w:t xml:space="preserve">Brightpearl (part of Sage)</w:t>
            </w:r>
          </w:p>
        </w:tc>
        <w:tc>
          <w:tcPr>
            <w:tcW w:type="dxa" w:w="1900"/>
            <w:shd w:fill="FFFFFF" w:val="clear"/>
            <w:tcMar>
              <w:top w:type="dxa" w:w="60"/>
              <w:left w:type="dxa" w:w="100"/>
              <w:bottom w:type="dxa" w:w="60"/>
              <w:right w:type="dxa" w:w="100"/>
            </w:tcMar>
            <w:vAlign w:val="center"/>
          </w:tcPr>
          <w:p>
            <w:r>
              <w:rPr>
                <w:b w:val="false"/>
                <w:bCs w:val="false"/>
                <w:sz w:val="16"/>
                <w:szCs w:val="16"/>
              </w:rPr>
              <w:t xml:space="preserve">Retail/omnichannel inventory + order management</w:t>
            </w:r>
          </w:p>
        </w:tc>
        <w:tc>
          <w:tcPr>
            <w:tcW w:type="dxa" w:w="2000"/>
            <w:shd w:fill="FFFFFF" w:val="clear"/>
            <w:tcMar>
              <w:top w:type="dxa" w:w="60"/>
              <w:left w:type="dxa" w:w="100"/>
              <w:bottom w:type="dxa" w:w="60"/>
              <w:right w:type="dxa" w:w="100"/>
            </w:tcMar>
            <w:vAlign w:val="center"/>
          </w:tcPr>
          <w:p>
            <w:r>
              <w:rPr>
                <w:b w:val="false"/>
                <w:bCs w:val="false"/>
                <w:sz w:val="16"/>
                <w:szCs w:val="16"/>
              </w:rPr>
              <w:t xml:space="preserve">Sage-wide AI initiatives apply indirectly</w:t>
            </w:r>
          </w:p>
        </w:tc>
        <w:tc>
          <w:tcPr>
            <w:tcW w:type="dxa" w:w="2100"/>
            <w:shd w:fill="FFFFFF" w:val="clear"/>
            <w:tcMar>
              <w:top w:type="dxa" w:w="60"/>
              <w:left w:type="dxa" w:w="100"/>
              <w:bottom w:type="dxa" w:w="60"/>
              <w:right w:type="dxa" w:w="100"/>
            </w:tcMar>
            <w:vAlign w:val="center"/>
          </w:tcPr>
          <w:p>
            <w:r>
              <w:rPr>
                <w:b w:val="false"/>
                <w:bCs w:val="false"/>
                <w:sz w:val="16"/>
                <w:szCs w:val="16"/>
              </w:rPr>
              <w:t xml:space="preserve">Has a genuine built-in retail accounting module, unlike the other 4 inventory tools here. "97% vs 25%" implementation-success stat is single-source vendor marketing</w:t>
            </w:r>
          </w:p>
        </w:tc>
        <w:tc>
          <w:tcPr>
            <w:tcW w:type="dxa" w:w="1600"/>
            <w:shd w:fill="FFFFFF" w:val="clear"/>
            <w:tcMar>
              <w:top w:type="dxa" w:w="60"/>
              <w:left w:type="dxa" w:w="100"/>
              <w:bottom w:type="dxa" w:w="60"/>
              <w:right w:type="dxa" w:w="100"/>
            </w:tcMar>
            <w:vAlign w:val="center"/>
          </w:tcPr>
          <w:p>
            <w:r>
              <w:rPr>
                <w:b w:val="false"/>
                <w:bCs w:val="false"/>
                <w:sz w:val="16"/>
                <w:szCs w:val="16"/>
              </w:rPr>
              <w:t xml:space="preserve">The one Tier-3 inventory tool with real native finance, not just pass-through</w:t>
            </w:r>
          </w:p>
        </w:tc>
      </w:tr>
      <w:tr>
        <w:tc>
          <w:tcPr>
            <w:tcW w:type="dxa" w:w="1500"/>
            <w:shd w:fill="F3F4F6" w:val="clear"/>
            <w:tcMar>
              <w:top w:type="dxa" w:w="60"/>
              <w:left w:type="dxa" w:w="100"/>
              <w:bottom w:type="dxa" w:w="60"/>
              <w:right w:type="dxa" w:w="100"/>
            </w:tcMar>
            <w:vAlign w:val="center"/>
          </w:tcPr>
          <w:p>
            <w:r>
              <w:rPr>
                <w:b w:val="false"/>
                <w:bCs w:val="false"/>
                <w:sz w:val="16"/>
                <w:szCs w:val="16"/>
              </w:rPr>
              <w:t xml:space="preserve">Marg ERP</w:t>
            </w:r>
          </w:p>
        </w:tc>
        <w:tc>
          <w:tcPr>
            <w:tcW w:type="dxa" w:w="1400"/>
            <w:shd w:fill="F3F4F6" w:val="clear"/>
            <w:tcMar>
              <w:top w:type="dxa" w:w="60"/>
              <w:left w:type="dxa" w:w="100"/>
              <w:bottom w:type="dxa" w:w="60"/>
              <w:right w:type="dxa" w:w="100"/>
            </w:tcMar>
            <w:vAlign w:val="center"/>
          </w:tcPr>
          <w:p>
            <w:r>
              <w:rPr>
                <w:b w:val="false"/>
                <w:bCs w:val="false"/>
                <w:sz w:val="16"/>
                <w:szCs w:val="16"/>
              </w:rPr>
              <w:t xml:space="preserve">Marg (India)</w:t>
            </w:r>
          </w:p>
        </w:tc>
        <w:tc>
          <w:tcPr>
            <w:tcW w:type="dxa" w:w="1900"/>
            <w:shd w:fill="F3F4F6" w:val="clear"/>
            <w:tcMar>
              <w:top w:type="dxa" w:w="60"/>
              <w:left w:type="dxa" w:w="100"/>
              <w:bottom w:type="dxa" w:w="60"/>
              <w:right w:type="dxa" w:w="100"/>
            </w:tcMar>
            <w:vAlign w:val="center"/>
          </w:tcPr>
          <w:p>
            <w:r>
              <w:rPr>
                <w:b w:val="false"/>
                <w:bCs w:val="false"/>
                <w:sz w:val="16"/>
                <w:szCs w:val="16"/>
              </w:rPr>
              <w:t xml:space="preserve">India pharma/FMCG/retail distribution</w:t>
            </w:r>
          </w:p>
        </w:tc>
        <w:tc>
          <w:tcPr>
            <w:tcW w:type="dxa" w:w="2000"/>
            <w:shd w:fill="F3F4F6" w:val="clear"/>
            <w:tcMar>
              <w:top w:type="dxa" w:w="60"/>
              <w:left w:type="dxa" w:w="100"/>
              <w:bottom w:type="dxa" w:w="60"/>
              <w:right w:type="dxa" w:w="100"/>
            </w:tcMar>
            <w:vAlign w:val="center"/>
          </w:tcPr>
          <w:p>
            <w:r>
              <w:rPr>
                <w:b w:val="false"/>
                <w:bCs w:val="false"/>
                <w:sz w:val="16"/>
                <w:szCs w:val="16"/>
              </w:rPr>
              <w:t xml:space="preserve">No confirmed AI feature found this session</w:t>
            </w:r>
          </w:p>
        </w:tc>
        <w:tc>
          <w:tcPr>
            <w:tcW w:type="dxa" w:w="2100"/>
            <w:shd w:fill="F3F4F6" w:val="clear"/>
            <w:tcMar>
              <w:top w:type="dxa" w:w="60"/>
              <w:left w:type="dxa" w:w="100"/>
              <w:bottom w:type="dxa" w:w="60"/>
              <w:right w:type="dxa" w:w="100"/>
            </w:tcMar>
            <w:vAlign w:val="center"/>
          </w:tcPr>
          <w:p>
            <w:r>
              <w:rPr>
                <w:b w:val="false"/>
                <w:bCs w:val="false"/>
                <w:sz w:val="16"/>
                <w:szCs w:val="16"/>
              </w:rPr>
              <w:t xml:space="preserve">Deep pharma-distribution compliance niche. Vendor site unreachable this session - profile relies solely on G2 + third-party mentions (6 G2 reviews)</w:t>
            </w:r>
          </w:p>
        </w:tc>
        <w:tc>
          <w:tcPr>
            <w:tcW w:type="dxa" w:w="1600"/>
            <w:shd w:fill="F3F4F6" w:val="clear"/>
            <w:tcMar>
              <w:top w:type="dxa" w:w="60"/>
              <w:left w:type="dxa" w:w="100"/>
              <w:bottom w:type="dxa" w:w="60"/>
              <w:right w:type="dxa" w:w="100"/>
            </w:tcMar>
            <w:vAlign w:val="center"/>
          </w:tcPr>
          <w:p>
            <w:r>
              <w:rPr>
                <w:b w:val="false"/>
                <w:bCs w:val="false"/>
                <w:sz w:val="16"/>
                <w:szCs w:val="16"/>
              </w:rPr>
              <w:t xml:space="preserve">Weakest source base of any product researched - flagged accordingly</w:t>
            </w:r>
          </w:p>
        </w:tc>
      </w:tr>
      <w:tr>
        <w:tc>
          <w:tcPr>
            <w:tcW w:type="dxa" w:w="1500"/>
            <w:shd w:fill="FFFFFF" w:val="clear"/>
            <w:tcMar>
              <w:top w:type="dxa" w:w="60"/>
              <w:left w:type="dxa" w:w="100"/>
              <w:bottom w:type="dxa" w:w="60"/>
              <w:right w:type="dxa" w:w="100"/>
            </w:tcMar>
            <w:vAlign w:val="center"/>
          </w:tcPr>
          <w:p>
            <w:r>
              <w:rPr>
                <w:b w:val="false"/>
                <w:bCs w:val="false"/>
                <w:sz w:val="16"/>
                <w:szCs w:val="16"/>
              </w:rPr>
              <w:t xml:space="preserve">Busy Accounting Software</w:t>
            </w:r>
          </w:p>
        </w:tc>
        <w:tc>
          <w:tcPr>
            <w:tcW w:type="dxa" w:w="1400"/>
            <w:shd w:fill="FFFFFF" w:val="clear"/>
            <w:tcMar>
              <w:top w:type="dxa" w:w="60"/>
              <w:left w:type="dxa" w:w="100"/>
              <w:bottom w:type="dxa" w:w="60"/>
              <w:right w:type="dxa" w:w="100"/>
            </w:tcMar>
            <w:vAlign w:val="center"/>
          </w:tcPr>
          <w:p>
            <w:r>
              <w:rPr>
                <w:b w:val="false"/>
                <w:bCs w:val="false"/>
                <w:sz w:val="16"/>
                <w:szCs w:val="16"/>
              </w:rPr>
              <w:t xml:space="preserve">Busy Infotech (India)</w:t>
            </w:r>
          </w:p>
        </w:tc>
        <w:tc>
          <w:tcPr>
            <w:tcW w:type="dxa" w:w="1900"/>
            <w:shd w:fill="FFFFFF" w:val="clear"/>
            <w:tcMar>
              <w:top w:type="dxa" w:w="60"/>
              <w:left w:type="dxa" w:w="100"/>
              <w:bottom w:type="dxa" w:w="60"/>
              <w:right w:type="dxa" w:w="100"/>
            </w:tcMar>
            <w:vAlign w:val="center"/>
          </w:tcPr>
          <w:p>
            <w:r>
              <w:rPr>
                <w:b w:val="false"/>
                <w:bCs w:val="false"/>
                <w:sz w:val="16"/>
                <w:szCs w:val="16"/>
              </w:rPr>
              <w:t xml:space="preserve">India SMB accounting - direct Tally rival</w:t>
            </w:r>
          </w:p>
        </w:tc>
        <w:tc>
          <w:tcPr>
            <w:tcW w:type="dxa" w:w="2000"/>
            <w:shd w:fill="FFFFFF" w:val="clear"/>
            <w:tcMar>
              <w:top w:type="dxa" w:w="60"/>
              <w:left w:type="dxa" w:w="100"/>
              <w:bottom w:type="dxa" w:w="60"/>
              <w:right w:type="dxa" w:w="100"/>
            </w:tcMar>
            <w:vAlign w:val="center"/>
          </w:tcPr>
          <w:p>
            <w:r>
              <w:rPr>
                <w:b w:val="false"/>
                <w:bCs w:val="false"/>
                <w:sz w:val="16"/>
                <w:szCs w:val="16"/>
              </w:rPr>
              <w:t xml:space="preserve">"BUSY Magic" new AI-branded subscription line</w:t>
            </w:r>
          </w:p>
        </w:tc>
        <w:tc>
          <w:tcPr>
            <w:tcW w:type="dxa" w:w="2100"/>
            <w:shd w:fill="FFFFFF" w:val="clear"/>
            <w:tcMar>
              <w:top w:type="dxa" w:w="60"/>
              <w:left w:type="dxa" w:w="100"/>
              <w:bottom w:type="dxa" w:w="60"/>
              <w:right w:type="dxa" w:w="100"/>
            </w:tcMar>
            <w:vAlign w:val="center"/>
          </w:tcPr>
          <w:p>
            <w:r>
              <w:rPr>
                <w:b w:val="false"/>
                <w:bCs w:val="false"/>
                <w:sz w:val="16"/>
                <w:szCs w:val="16"/>
              </w:rPr>
              <w:t xml:space="preserve">Hybrid desktop+cloud model. "600,000+ businesses" is vendor-stated, uncorroborated</w:t>
            </w:r>
          </w:p>
        </w:tc>
        <w:tc>
          <w:tcPr>
            <w:tcW w:type="dxa" w:w="1600"/>
            <w:shd w:fill="FFFFFF" w:val="clear"/>
            <w:tcMar>
              <w:top w:type="dxa" w:w="60"/>
              <w:left w:type="dxa" w:w="100"/>
              <w:bottom w:type="dxa" w:w="60"/>
              <w:right w:type="dxa" w:w="100"/>
            </w:tcMar>
            <w:vAlign w:val="center"/>
          </w:tcPr>
          <w:p>
            <w:r>
              <w:rPr>
                <w:b w:val="false"/>
                <w:bCs w:val="false"/>
                <w:sz w:val="16"/>
                <w:szCs w:val="16"/>
              </w:rPr>
              <w:t xml:space="preserve">Pricing: Rs.5,000-Rs.50,000 (BUSY Magic tiers), Rs.11,000-Rs.22,000 (legacy perpetual)</w:t>
            </w:r>
          </w:p>
        </w:tc>
      </w:tr>
      <w:tr>
        <w:tc>
          <w:tcPr>
            <w:tcW w:type="dxa" w:w="1500"/>
            <w:shd w:fill="F3F4F6" w:val="clear"/>
            <w:tcMar>
              <w:top w:type="dxa" w:w="60"/>
              <w:left w:type="dxa" w:w="100"/>
              <w:bottom w:type="dxa" w:w="60"/>
              <w:right w:type="dxa" w:w="100"/>
            </w:tcMar>
            <w:vAlign w:val="center"/>
          </w:tcPr>
          <w:p>
            <w:r>
              <w:rPr>
                <w:b w:val="false"/>
                <w:bCs w:val="false"/>
                <w:sz w:val="16"/>
                <w:szCs w:val="16"/>
              </w:rPr>
              <w:t xml:space="preserve">Ramco Systems</w:t>
            </w:r>
          </w:p>
        </w:tc>
        <w:tc>
          <w:tcPr>
            <w:tcW w:type="dxa" w:w="1400"/>
            <w:shd w:fill="F3F4F6" w:val="clear"/>
            <w:tcMar>
              <w:top w:type="dxa" w:w="60"/>
              <w:left w:type="dxa" w:w="100"/>
              <w:bottom w:type="dxa" w:w="60"/>
              <w:right w:type="dxa" w:w="100"/>
            </w:tcMar>
            <w:vAlign w:val="center"/>
          </w:tcPr>
          <w:p>
            <w:r>
              <w:rPr>
                <w:b w:val="false"/>
                <w:bCs w:val="false"/>
                <w:sz w:val="16"/>
                <w:szCs w:val="16"/>
              </w:rPr>
              <w:t xml:space="preserve">Ramco (India)</w:t>
            </w:r>
          </w:p>
        </w:tc>
        <w:tc>
          <w:tcPr>
            <w:tcW w:type="dxa" w:w="1900"/>
            <w:shd w:fill="F3F4F6" w:val="clear"/>
            <w:tcMar>
              <w:top w:type="dxa" w:w="60"/>
              <w:left w:type="dxa" w:w="100"/>
              <w:bottom w:type="dxa" w:w="60"/>
              <w:right w:type="dxa" w:w="100"/>
            </w:tcMar>
            <w:vAlign w:val="center"/>
          </w:tcPr>
          <w:p>
            <w:r>
              <w:rPr>
                <w:b w:val="false"/>
                <w:bCs w:val="false"/>
                <w:sz w:val="16"/>
                <w:szCs w:val="16"/>
              </w:rPr>
              <w:t xml:space="preserve">Enterprise ERP/HCM/payroll - global reach from India HQ</w:t>
            </w:r>
          </w:p>
        </w:tc>
        <w:tc>
          <w:tcPr>
            <w:tcW w:type="dxa" w:w="2000"/>
            <w:shd w:fill="F3F4F6" w:val="clear"/>
            <w:tcMar>
              <w:top w:type="dxa" w:w="60"/>
              <w:left w:type="dxa" w:w="100"/>
              <w:bottom w:type="dxa" w:w="60"/>
              <w:right w:type="dxa" w:w="100"/>
            </w:tcMar>
            <w:vAlign w:val="center"/>
          </w:tcPr>
          <w:p>
            <w:r>
              <w:rPr>
                <w:b w:val="false"/>
                <w:bCs w:val="false"/>
                <w:sz w:val="16"/>
                <w:szCs w:val="16"/>
              </w:rPr>
              <w:t xml:space="preserve">"Chia" AI assistant in Payce payroll; July 2026 press release repositions as "AI-native" under new CEO Sandesh Bilagi</w:t>
            </w:r>
          </w:p>
        </w:tc>
        <w:tc>
          <w:tcPr>
            <w:tcW w:type="dxa" w:w="2100"/>
            <w:shd w:fill="F3F4F6" w:val="clear"/>
            <w:tcMar>
              <w:top w:type="dxa" w:w="60"/>
              <w:left w:type="dxa" w:w="100"/>
              <w:bottom w:type="dxa" w:w="60"/>
              <w:right w:type="dxa" w:w="100"/>
            </w:tcMar>
            <w:vAlign w:val="center"/>
          </w:tcPr>
          <w:p>
            <w:r>
              <w:rPr>
                <w:b w:val="false"/>
                <w:bCs w:val="false"/>
                <w:sz w:val="16"/>
                <w:szCs w:val="16"/>
              </w:rPr>
              <w:t xml:space="preserve">FY26 revenue $79.9M (+13% YoY). Customer-count claims conflict: 800+ (own site) vs. 1,000+ (G2) - unresolved discrepancy</w:t>
            </w:r>
          </w:p>
        </w:tc>
        <w:tc>
          <w:tcPr>
            <w:tcW w:type="dxa" w:w="1600"/>
            <w:shd w:fill="F3F4F6" w:val="clear"/>
            <w:tcMar>
              <w:top w:type="dxa" w:w="60"/>
              <w:left w:type="dxa" w:w="100"/>
              <w:bottom w:type="dxa" w:w="60"/>
              <w:right w:type="dxa" w:w="100"/>
            </w:tcMar>
            <w:vAlign w:val="center"/>
          </w:tcPr>
          <w:p>
            <w:r>
              <w:rPr>
                <w:b w:val="false"/>
                <w:bCs w:val="false"/>
                <w:sz w:val="16"/>
                <w:szCs w:val="16"/>
              </w:rPr>
              <w:t xml:space="preserve">The one India-HQ player credibly competing in global enterprise HCM/payroll, not just SMB accounting</w:t>
            </w:r>
          </w:p>
        </w:tc>
      </w:tr>
      <w:tr>
        <w:tc>
          <w:tcPr>
            <w:tcW w:type="dxa" w:w="1500"/>
            <w:shd w:fill="FFFFFF" w:val="clear"/>
            <w:tcMar>
              <w:top w:type="dxa" w:w="60"/>
              <w:left w:type="dxa" w:w="100"/>
              <w:bottom w:type="dxa" w:w="60"/>
              <w:right w:type="dxa" w:w="100"/>
            </w:tcMar>
            <w:vAlign w:val="center"/>
          </w:tcPr>
          <w:p>
            <w:r>
              <w:rPr>
                <w:b w:val="false"/>
                <w:bCs w:val="false"/>
                <w:sz w:val="16"/>
                <w:szCs w:val="16"/>
              </w:rPr>
              <w:t xml:space="preserve">Ginesys</w:t>
            </w:r>
          </w:p>
        </w:tc>
        <w:tc>
          <w:tcPr>
            <w:tcW w:type="dxa" w:w="1400"/>
            <w:shd w:fill="FFFFFF" w:val="clear"/>
            <w:tcMar>
              <w:top w:type="dxa" w:w="60"/>
              <w:left w:type="dxa" w:w="100"/>
              <w:bottom w:type="dxa" w:w="60"/>
              <w:right w:type="dxa" w:w="100"/>
            </w:tcMar>
            <w:vAlign w:val="center"/>
          </w:tcPr>
          <w:p>
            <w:r>
              <w:rPr>
                <w:b w:val="false"/>
                <w:bCs w:val="false"/>
                <w:sz w:val="16"/>
                <w:szCs w:val="16"/>
              </w:rPr>
              <w:t xml:space="preserve">Ginesys (India)</w:t>
            </w:r>
          </w:p>
        </w:tc>
        <w:tc>
          <w:tcPr>
            <w:tcW w:type="dxa" w:w="1900"/>
            <w:shd w:fill="FFFFFF" w:val="clear"/>
            <w:tcMar>
              <w:top w:type="dxa" w:w="60"/>
              <w:left w:type="dxa" w:w="100"/>
              <w:bottom w:type="dxa" w:w="60"/>
              <w:right w:type="dxa" w:w="100"/>
            </w:tcMar>
            <w:vAlign w:val="center"/>
          </w:tcPr>
          <w:p>
            <w:r>
              <w:rPr>
                <w:b w:val="false"/>
                <w:bCs w:val="false"/>
                <w:sz w:val="16"/>
                <w:szCs w:val="16"/>
              </w:rPr>
              <w:t xml:space="preserve">India retail-vertical ERP</w:t>
            </w:r>
          </w:p>
        </w:tc>
        <w:tc>
          <w:tcPr>
            <w:tcW w:type="dxa" w:w="2000"/>
            <w:shd w:fill="FFFFFF" w:val="clear"/>
            <w:tcMar>
              <w:top w:type="dxa" w:w="60"/>
              <w:left w:type="dxa" w:w="100"/>
              <w:bottom w:type="dxa" w:w="60"/>
              <w:right w:type="dxa" w:w="100"/>
            </w:tcMar>
            <w:vAlign w:val="center"/>
          </w:tcPr>
          <w:p>
            <w:r>
              <w:rPr>
                <w:b w:val="false"/>
                <w:bCs w:val="false"/>
                <w:sz w:val="16"/>
                <w:szCs w:val="16"/>
              </w:rPr>
              <w:t xml:space="preserve">No confirmed AI feature found this session</w:t>
            </w:r>
          </w:p>
        </w:tc>
        <w:tc>
          <w:tcPr>
            <w:tcW w:type="dxa" w:w="2100"/>
            <w:shd w:fill="FFFFFF" w:val="clear"/>
            <w:tcMar>
              <w:top w:type="dxa" w:w="60"/>
              <w:left w:type="dxa" w:w="100"/>
              <w:bottom w:type="dxa" w:w="60"/>
              <w:right w:type="dxa" w:w="100"/>
            </w:tcMar>
            <w:vAlign w:val="center"/>
          </w:tcPr>
          <w:p>
            <w:r>
              <w:rPr>
                <w:b w:val="false"/>
                <w:bCs w:val="false"/>
                <w:sz w:val="16"/>
                <w:szCs w:val="16"/>
              </w:rPr>
              <w:t xml:space="preserve">Native finance/accounting module, unlike most inventory-only tools in this tier. "1,200+ customers" claim (incl. Manyavar, Ranna Gill, Eske Paris) is single-source, unverified</w:t>
            </w:r>
          </w:p>
        </w:tc>
        <w:tc>
          <w:tcPr>
            <w:tcW w:type="dxa" w:w="1600"/>
            <w:shd w:fill="FFFFFF" w:val="clear"/>
            <w:tcMar>
              <w:top w:type="dxa" w:w="60"/>
              <w:left w:type="dxa" w:w="100"/>
              <w:bottom w:type="dxa" w:w="60"/>
              <w:right w:type="dxa" w:w="100"/>
            </w:tcMar>
            <w:vAlign w:val="center"/>
          </w:tcPr>
          <w:p>
            <w:r>
              <w:rPr>
                <w:b w:val="false"/>
                <w:bCs w:val="false"/>
                <w:sz w:val="16"/>
                <w:szCs w:val="16"/>
              </w:rPr>
              <w:t xml:space="preserve">Only 8 G2 reviews - small-sample confidence flag</w:t>
            </w:r>
          </w:p>
        </w:tc>
      </w:tr>
    </w:tbl>
    <w:p>
      <w:r>
        <w:br w:type="page"/>
      </w:r>
    </w:p>
    <w:p>
      <w:pPr>
        <w:pStyle w:val="Heading1"/>
        <w:spacing w:after="200" w:before="400"/>
      </w:pPr>
      <w:r>
        <w:t xml:space="preserve">6. India Market Deep-Dive</w:t>
      </w:r>
    </w:p>
    <w:p>
      <w:pPr>
        <w:spacing w:after="160" w:line="276"/>
      </w:pPr>
      <w:r>
        <w:rPr>
          <w:sz w:val="21"/>
          <w:szCs w:val="21"/>
        </w:rPr>
        <w:t xml:space="preserve">India's ERP/business-software market is structurally distinct from the global picture summarized in Sections 4-6. Two players (Tally, Busy) dominate SMB accounting/GST-compliance by sheer volume and are not really "ERP" in the manufacturing-planning sense - they are compliance-first accounting tools that most small Indian businesses already run. A second group (Zoho, ERPNext/Frappe) are India-origin companies that have built real global reach with broader, more ERP-like ambitions. A third group (Ramco, Ginesys, Marg) serve enterprise/vertical niches from an India base.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900"/>
        <w:gridCol w:w="2700"/>
      </w:tblGrid>
      <w:tr>
        <w:trPr>
          <w:tblHeader/>
        </w:trPr>
        <w:tc>
          <w:tcPr>
            <w:tcW w:type="dxa" w:w="1700"/>
            <w:shd w:fill="1F2937" w:val="clear"/>
            <w:tcMar>
              <w:top w:type="dxa" w:w="60"/>
              <w:left w:type="dxa" w:w="100"/>
              <w:bottom w:type="dxa" w:w="60"/>
              <w:right w:type="dxa" w:w="100"/>
            </w:tcMar>
            <w:vAlign w:val="center"/>
          </w:tcPr>
          <w:p>
            <w:r>
              <w:rPr>
                <w:b/>
                <w:bCs/>
                <w:color w:val="FFFFFF"/>
                <w:sz w:val="17"/>
                <w:szCs w:val="17"/>
              </w:rPr>
              <w:t xml:space="preserve">Player</w:t>
            </w:r>
          </w:p>
        </w:tc>
        <w:tc>
          <w:tcPr>
            <w:tcW w:type="dxa" w:w="2200"/>
            <w:shd w:fill="1F2937" w:val="clear"/>
            <w:tcMar>
              <w:top w:type="dxa" w:w="60"/>
              <w:left w:type="dxa" w:w="100"/>
              <w:bottom w:type="dxa" w:w="60"/>
              <w:right w:type="dxa" w:w="100"/>
            </w:tcMar>
            <w:vAlign w:val="center"/>
          </w:tcPr>
          <w:p>
            <w:r>
              <w:rPr>
                <w:b/>
                <w:bCs/>
                <w:color w:val="FFFFFF"/>
                <w:sz w:val="17"/>
                <w:szCs w:val="17"/>
              </w:rPr>
              <w:t xml:space="preserve">Segment</w:t>
            </w:r>
          </w:p>
        </w:tc>
        <w:tc>
          <w:tcPr>
            <w:tcW w:type="dxa" w:w="2900"/>
            <w:shd w:fill="1F2937" w:val="clear"/>
            <w:tcMar>
              <w:top w:type="dxa" w:w="60"/>
              <w:left w:type="dxa" w:w="100"/>
              <w:bottom w:type="dxa" w:w="60"/>
              <w:right w:type="dxa" w:w="100"/>
            </w:tcMar>
            <w:vAlign w:val="center"/>
          </w:tcPr>
          <w:p>
            <w:r>
              <w:rPr>
                <w:b/>
                <w:bCs/>
                <w:color w:val="FFFFFF"/>
                <w:sz w:val="17"/>
                <w:szCs w:val="17"/>
              </w:rPr>
              <w:t xml:space="preserve">Position / Scale Claim</w:t>
            </w:r>
          </w:p>
        </w:tc>
        <w:tc>
          <w:tcPr>
            <w:tcW w:type="dxa" w:w="2700"/>
            <w:shd w:fill="1F2937" w:val="clear"/>
            <w:tcMar>
              <w:top w:type="dxa" w:w="60"/>
              <w:left w:type="dxa" w:w="100"/>
              <w:bottom w:type="dxa" w:w="60"/>
              <w:right w:type="dxa" w:w="100"/>
            </w:tcMar>
            <w:vAlign w:val="center"/>
          </w:tcPr>
          <w:p>
            <w:r>
              <w:rPr>
                <w:b/>
                <w:bCs/>
                <w:color w:val="FFFFFF"/>
                <w:sz w:val="17"/>
                <w:szCs w:val="17"/>
              </w:rPr>
              <w:t xml:space="preserve">Relevance to FusionOS</w:t>
            </w:r>
          </w:p>
        </w:tc>
      </w:tr>
      <w:tr>
        <w:tc>
          <w:tcPr>
            <w:tcW w:type="dxa" w:w="1700"/>
            <w:shd w:fill="FFFFFF" w:val="clear"/>
            <w:tcMar>
              <w:top w:type="dxa" w:w="60"/>
              <w:left w:type="dxa" w:w="100"/>
              <w:bottom w:type="dxa" w:w="60"/>
              <w:right w:type="dxa" w:w="100"/>
            </w:tcMar>
            <w:vAlign w:val="center"/>
          </w:tcPr>
          <w:p>
            <w:r>
              <w:rPr>
                <w:b w:val="false"/>
                <w:bCs w:val="false"/>
                <w:sz w:val="16"/>
                <w:szCs w:val="16"/>
              </w:rPr>
              <w:t xml:space="preserve">TallyPrime</w:t>
            </w:r>
          </w:p>
        </w:tc>
        <w:tc>
          <w:tcPr>
            <w:tcW w:type="dxa" w:w="2200"/>
            <w:shd w:fill="FFFFFF" w:val="clear"/>
            <w:tcMar>
              <w:top w:type="dxa" w:w="60"/>
              <w:left w:type="dxa" w:w="100"/>
              <w:bottom w:type="dxa" w:w="60"/>
              <w:right w:type="dxa" w:w="100"/>
            </w:tcMar>
            <w:vAlign w:val="center"/>
          </w:tcPr>
          <w:p>
            <w:r>
              <w:rPr>
                <w:b w:val="false"/>
                <w:bCs w:val="false"/>
                <w:sz w:val="16"/>
                <w:szCs w:val="16"/>
              </w:rPr>
              <w:t xml:space="preserve">SMB accounting / GST compliance</w:t>
            </w:r>
          </w:p>
        </w:tc>
        <w:tc>
          <w:tcPr>
            <w:tcW w:type="dxa" w:w="2900"/>
            <w:shd w:fill="FFFFFF" w:val="clear"/>
            <w:tcMar>
              <w:top w:type="dxa" w:w="60"/>
              <w:left w:type="dxa" w:w="100"/>
              <w:bottom w:type="dxa" w:w="60"/>
              <w:right w:type="dxa" w:w="100"/>
            </w:tcMar>
            <w:vAlign w:val="center"/>
          </w:tcPr>
          <w:p>
            <w:r>
              <w:rPr>
                <w:b w:val="false"/>
                <w:bCs w:val="false"/>
                <w:sz w:val="16"/>
                <w:szCs w:val="16"/>
              </w:rPr>
              <w:t xml:space="preserve">"2.7M+ businesses" (vendor); dominant India SMB mindshare; new "TallyIra" AI doc-processing feature in early access</w:t>
            </w:r>
          </w:p>
        </w:tc>
        <w:tc>
          <w:tcPr>
            <w:tcW w:type="dxa" w:w="2700"/>
            <w:shd w:fill="FFFFFF" w:val="clear"/>
            <w:tcMar>
              <w:top w:type="dxa" w:w="60"/>
              <w:left w:type="dxa" w:w="100"/>
              <w:bottom w:type="dxa" w:w="60"/>
              <w:right w:type="dxa" w:w="100"/>
            </w:tcMar>
            <w:vAlign w:val="center"/>
          </w:tcPr>
          <w:p>
            <w:r>
              <w:rPr>
                <w:b w:val="false"/>
                <w:bCs w:val="false"/>
                <w:sz w:val="16"/>
                <w:szCs w:val="16"/>
              </w:rPr>
              <w:t xml:space="preserve">Not a planning ERP - no direct architectural competitor, but owns the volume segment FusionOS would face if it targeted India SMB accounting first</w:t>
            </w:r>
          </w:p>
        </w:tc>
      </w:tr>
      <w:tr>
        <w:tc>
          <w:tcPr>
            <w:tcW w:type="dxa" w:w="1700"/>
            <w:shd w:fill="F3F4F6" w:val="clear"/>
            <w:tcMar>
              <w:top w:type="dxa" w:w="60"/>
              <w:left w:type="dxa" w:w="100"/>
              <w:bottom w:type="dxa" w:w="60"/>
              <w:right w:type="dxa" w:w="100"/>
            </w:tcMar>
            <w:vAlign w:val="center"/>
          </w:tcPr>
          <w:p>
            <w:r>
              <w:rPr>
                <w:b w:val="false"/>
                <w:bCs w:val="false"/>
                <w:sz w:val="16"/>
                <w:szCs w:val="16"/>
              </w:rPr>
              <w:t xml:space="preserve">Busy Accounting Software</w:t>
            </w:r>
          </w:p>
        </w:tc>
        <w:tc>
          <w:tcPr>
            <w:tcW w:type="dxa" w:w="2200"/>
            <w:shd w:fill="F3F4F6" w:val="clear"/>
            <w:tcMar>
              <w:top w:type="dxa" w:w="60"/>
              <w:left w:type="dxa" w:w="100"/>
              <w:bottom w:type="dxa" w:w="60"/>
              <w:right w:type="dxa" w:w="100"/>
            </w:tcMar>
            <w:vAlign w:val="center"/>
          </w:tcPr>
          <w:p>
            <w:r>
              <w:rPr>
                <w:b w:val="false"/>
                <w:bCs w:val="false"/>
                <w:sz w:val="16"/>
                <w:szCs w:val="16"/>
              </w:rPr>
              <w:t xml:space="preserve">SMB accounting - direct Tally rival</w:t>
            </w:r>
          </w:p>
        </w:tc>
        <w:tc>
          <w:tcPr>
            <w:tcW w:type="dxa" w:w="2900"/>
            <w:shd w:fill="F3F4F6" w:val="clear"/>
            <w:tcMar>
              <w:top w:type="dxa" w:w="60"/>
              <w:left w:type="dxa" w:w="100"/>
              <w:bottom w:type="dxa" w:w="60"/>
              <w:right w:type="dxa" w:w="100"/>
            </w:tcMar>
            <w:vAlign w:val="center"/>
          </w:tcPr>
          <w:p>
            <w:r>
              <w:rPr>
                <w:b w:val="false"/>
                <w:bCs w:val="false"/>
                <w:sz w:val="16"/>
                <w:szCs w:val="16"/>
              </w:rPr>
              <w:t xml:space="preserve">"600,000+ businesses" (vendor-stated, uncorroborated); hybrid desktop+cloud; new "BUSY Magic" AI subscription tier</w:t>
            </w:r>
          </w:p>
        </w:tc>
        <w:tc>
          <w:tcPr>
            <w:tcW w:type="dxa" w:w="2700"/>
            <w:shd w:fill="F3F4F6" w:val="clear"/>
            <w:tcMar>
              <w:top w:type="dxa" w:w="60"/>
              <w:left w:type="dxa" w:w="100"/>
              <w:bottom w:type="dxa" w:w="60"/>
              <w:right w:type="dxa" w:w="100"/>
            </w:tcMar>
            <w:vAlign w:val="center"/>
          </w:tcPr>
          <w:p>
            <w:r>
              <w:rPr>
                <w:b w:val="false"/>
                <w:bCs w:val="false"/>
                <w:sz w:val="16"/>
                <w:szCs w:val="16"/>
              </w:rPr>
              <w:t xml:space="preserve">Same segment as Tally - the two together likely represent the large majority of India SMB accounting-software volume</w:t>
            </w:r>
          </w:p>
        </w:tc>
      </w:tr>
      <w:tr>
        <w:tc>
          <w:tcPr>
            <w:tcW w:type="dxa" w:w="1700"/>
            <w:shd w:fill="FFFFFF" w:val="clear"/>
            <w:tcMar>
              <w:top w:type="dxa" w:w="60"/>
              <w:left w:type="dxa" w:w="100"/>
              <w:bottom w:type="dxa" w:w="60"/>
              <w:right w:type="dxa" w:w="100"/>
            </w:tcMar>
            <w:vAlign w:val="center"/>
          </w:tcPr>
          <w:p>
            <w:r>
              <w:rPr>
                <w:b w:val="false"/>
                <w:bCs w:val="false"/>
                <w:sz w:val="16"/>
                <w:szCs w:val="16"/>
              </w:rPr>
              <w:t xml:space="preserve">Marg ERP</w:t>
            </w:r>
          </w:p>
        </w:tc>
        <w:tc>
          <w:tcPr>
            <w:tcW w:type="dxa" w:w="2200"/>
            <w:shd w:fill="FFFFFF" w:val="clear"/>
            <w:tcMar>
              <w:top w:type="dxa" w:w="60"/>
              <w:left w:type="dxa" w:w="100"/>
              <w:bottom w:type="dxa" w:w="60"/>
              <w:right w:type="dxa" w:w="100"/>
            </w:tcMar>
            <w:vAlign w:val="center"/>
          </w:tcPr>
          <w:p>
            <w:r>
              <w:rPr>
                <w:b w:val="false"/>
                <w:bCs w:val="false"/>
                <w:sz w:val="16"/>
                <w:szCs w:val="16"/>
              </w:rPr>
              <w:t xml:space="preserve">Pharma/FMCG/retail distribution</w:t>
            </w:r>
          </w:p>
        </w:tc>
        <w:tc>
          <w:tcPr>
            <w:tcW w:type="dxa" w:w="2900"/>
            <w:shd w:fill="FFFFFF" w:val="clear"/>
            <w:tcMar>
              <w:top w:type="dxa" w:w="60"/>
              <w:left w:type="dxa" w:w="100"/>
              <w:bottom w:type="dxa" w:w="60"/>
              <w:right w:type="dxa" w:w="100"/>
            </w:tcMar>
            <w:vAlign w:val="center"/>
          </w:tcPr>
          <w:p>
            <w:r>
              <w:rPr>
                <w:b w:val="false"/>
                <w:bCs w:val="false"/>
                <w:sz w:val="16"/>
                <w:szCs w:val="16"/>
              </w:rPr>
              <w:t xml:space="preserve">Deep distribution-compliance niche; weakest source base of any product in this report - vendor site unreachable, G2 sample only 6 reviews</w:t>
            </w:r>
          </w:p>
        </w:tc>
        <w:tc>
          <w:tcPr>
            <w:tcW w:type="dxa" w:w="2700"/>
            <w:shd w:fill="FFFFFF" w:val="clear"/>
            <w:tcMar>
              <w:top w:type="dxa" w:w="60"/>
              <w:left w:type="dxa" w:w="100"/>
              <w:bottom w:type="dxa" w:w="60"/>
              <w:right w:type="dxa" w:w="100"/>
            </w:tcMar>
            <w:vAlign w:val="center"/>
          </w:tcPr>
          <w:p>
            <w:r>
              <w:rPr>
                <w:b w:val="false"/>
                <w:bCs w:val="false"/>
                <w:sz w:val="16"/>
                <w:szCs w:val="16"/>
              </w:rPr>
              <w:t xml:space="preserve">Vertical-specific niche unlikely to overlap with FusionOS's target segment directly</w:t>
            </w:r>
          </w:p>
        </w:tc>
      </w:tr>
      <w:tr>
        <w:tc>
          <w:tcPr>
            <w:tcW w:type="dxa" w:w="1700"/>
            <w:shd w:fill="F3F4F6" w:val="clear"/>
            <w:tcMar>
              <w:top w:type="dxa" w:w="60"/>
              <w:left w:type="dxa" w:w="100"/>
              <w:bottom w:type="dxa" w:w="60"/>
              <w:right w:type="dxa" w:w="100"/>
            </w:tcMar>
            <w:vAlign w:val="center"/>
          </w:tcPr>
          <w:p>
            <w:r>
              <w:rPr>
                <w:b w:val="false"/>
                <w:bCs w:val="false"/>
                <w:sz w:val="16"/>
                <w:szCs w:val="16"/>
              </w:rPr>
              <w:t xml:space="preserve">Zoho ERP / Zoho One</w:t>
            </w:r>
          </w:p>
        </w:tc>
        <w:tc>
          <w:tcPr>
            <w:tcW w:type="dxa" w:w="2200"/>
            <w:shd w:fill="F3F4F6" w:val="clear"/>
            <w:tcMar>
              <w:top w:type="dxa" w:w="60"/>
              <w:left w:type="dxa" w:w="100"/>
              <w:bottom w:type="dxa" w:w="60"/>
              <w:right w:type="dxa" w:w="100"/>
            </w:tcMar>
            <w:vAlign w:val="center"/>
          </w:tcPr>
          <w:p>
            <w:r>
              <w:rPr>
                <w:b w:val="false"/>
                <w:bCs w:val="false"/>
                <w:sz w:val="16"/>
                <w:szCs w:val="16"/>
              </w:rPr>
              <w:t xml:space="preserve">SMB/mid-market app suite (India-origin, global reach)</w:t>
            </w:r>
          </w:p>
        </w:tc>
        <w:tc>
          <w:tcPr>
            <w:tcW w:type="dxa" w:w="2900"/>
            <w:shd w:fill="F3F4F6" w:val="clear"/>
            <w:tcMar>
              <w:top w:type="dxa" w:w="60"/>
              <w:left w:type="dxa" w:w="100"/>
              <w:bottom w:type="dxa" w:w="60"/>
              <w:right w:type="dxa" w:w="100"/>
            </w:tcMar>
            <w:vAlign w:val="center"/>
          </w:tcPr>
          <w:p>
            <w:r>
              <w:rPr>
                <w:b w:val="false"/>
                <w:bCs w:val="false"/>
                <w:sz w:val="16"/>
                <w:szCs w:val="16"/>
              </w:rPr>
              <w:t xml:space="preserve">Chennai-based, bootstrapped/no VC funding; broad bundled-app strategy; Zia AI assistant across suite</w:t>
            </w:r>
          </w:p>
        </w:tc>
        <w:tc>
          <w:tcPr>
            <w:tcW w:type="dxa" w:w="2700"/>
            <w:shd w:fill="F3F4F6" w:val="clear"/>
            <w:tcMar>
              <w:top w:type="dxa" w:w="60"/>
              <w:left w:type="dxa" w:w="100"/>
              <w:bottom w:type="dxa" w:w="60"/>
              <w:right w:type="dxa" w:w="100"/>
            </w:tcMar>
            <w:vAlign w:val="center"/>
          </w:tcPr>
          <w:p>
            <w:r>
              <w:rPr>
                <w:b w:val="false"/>
                <w:bCs w:val="false"/>
                <w:sz w:val="16"/>
                <w:szCs w:val="16"/>
              </w:rPr>
              <w:t xml:space="preserve">Closest India-origin company to FusionOS's global mid-market ambition, though its model (bundle many small apps) differs from FusionOS's integrated-modular-monolith approach</w:t>
            </w:r>
          </w:p>
        </w:tc>
      </w:tr>
      <w:tr>
        <w:tc>
          <w:tcPr>
            <w:tcW w:type="dxa" w:w="1700"/>
            <w:shd w:fill="FFFFFF" w:val="clear"/>
            <w:tcMar>
              <w:top w:type="dxa" w:w="60"/>
              <w:left w:type="dxa" w:w="100"/>
              <w:bottom w:type="dxa" w:w="60"/>
              <w:right w:type="dxa" w:w="100"/>
            </w:tcMar>
            <w:vAlign w:val="center"/>
          </w:tcPr>
          <w:p>
            <w:r>
              <w:rPr>
                <w:b w:val="false"/>
                <w:bCs w:val="false"/>
                <w:sz w:val="16"/>
                <w:szCs w:val="16"/>
              </w:rPr>
              <w:t xml:space="preserve">ERPNext (Frappe)</w:t>
            </w:r>
          </w:p>
        </w:tc>
        <w:tc>
          <w:tcPr>
            <w:tcW w:type="dxa" w:w="2200"/>
            <w:shd w:fill="FFFFFF" w:val="clear"/>
            <w:tcMar>
              <w:top w:type="dxa" w:w="60"/>
              <w:left w:type="dxa" w:w="100"/>
              <w:bottom w:type="dxa" w:w="60"/>
              <w:right w:type="dxa" w:w="100"/>
            </w:tcMar>
            <w:vAlign w:val="center"/>
          </w:tcPr>
          <w:p>
            <w:r>
              <w:rPr>
                <w:b w:val="false"/>
                <w:bCs w:val="false"/>
                <w:sz w:val="16"/>
                <w:szCs w:val="16"/>
              </w:rPr>
              <w:t xml:space="preserve">SMB/mid-market, open-source</w:t>
            </w:r>
          </w:p>
        </w:tc>
        <w:tc>
          <w:tcPr>
            <w:tcW w:type="dxa" w:w="2900"/>
            <w:shd w:fill="FFFFFF" w:val="clear"/>
            <w:tcMar>
              <w:top w:type="dxa" w:w="60"/>
              <w:left w:type="dxa" w:w="100"/>
              <w:bottom w:type="dxa" w:w="60"/>
              <w:right w:type="dxa" w:w="100"/>
            </w:tcMar>
            <w:vAlign w:val="center"/>
          </w:tcPr>
          <w:p>
            <w:r>
              <w:rPr>
                <w:b w:val="false"/>
                <w:bCs w:val="false"/>
                <w:sz w:val="16"/>
                <w:szCs w:val="16"/>
              </w:rPr>
              <w:t xml:space="preserve">Mumbai-based; no per-user fee; Frappe Cloud compute-based pricing ~$14-108/mo; "30,000+ companies" (vendor-stated)</w:t>
            </w:r>
          </w:p>
        </w:tc>
        <w:tc>
          <w:tcPr>
            <w:tcW w:type="dxa" w:w="2700"/>
            <w:shd w:fill="FFFFFF" w:val="clear"/>
            <w:tcMar>
              <w:top w:type="dxa" w:w="60"/>
              <w:left w:type="dxa" w:w="100"/>
              <w:bottom w:type="dxa" w:w="60"/>
              <w:right w:type="dxa" w:w="100"/>
            </w:tcMar>
            <w:vAlign w:val="center"/>
          </w:tcPr>
          <w:p>
            <w:r>
              <w:rPr>
                <w:b w:val="false"/>
                <w:bCs w:val="false"/>
                <w:sz w:val="16"/>
                <w:szCs w:val="16"/>
              </w:rPr>
              <w:t xml:space="preserve">Closest India-origin architecture comparison (modular, self-hostable or cloud) - worth tracking as ERPNext is the most structurally similar competitor of the India set</w:t>
            </w:r>
          </w:p>
        </w:tc>
      </w:tr>
      <w:tr>
        <w:tc>
          <w:tcPr>
            <w:tcW w:type="dxa" w:w="1700"/>
            <w:shd w:fill="F3F4F6" w:val="clear"/>
            <w:tcMar>
              <w:top w:type="dxa" w:w="60"/>
              <w:left w:type="dxa" w:w="100"/>
              <w:bottom w:type="dxa" w:w="60"/>
              <w:right w:type="dxa" w:w="100"/>
            </w:tcMar>
            <w:vAlign w:val="center"/>
          </w:tcPr>
          <w:p>
            <w:r>
              <w:rPr>
                <w:b w:val="false"/>
                <w:bCs w:val="false"/>
                <w:sz w:val="16"/>
                <w:szCs w:val="16"/>
              </w:rPr>
              <w:t xml:space="preserve">Ramco Systems</w:t>
            </w:r>
          </w:p>
        </w:tc>
        <w:tc>
          <w:tcPr>
            <w:tcW w:type="dxa" w:w="2200"/>
            <w:shd w:fill="F3F4F6" w:val="clear"/>
            <w:tcMar>
              <w:top w:type="dxa" w:w="60"/>
              <w:left w:type="dxa" w:w="100"/>
              <w:bottom w:type="dxa" w:w="60"/>
              <w:right w:type="dxa" w:w="100"/>
            </w:tcMar>
            <w:vAlign w:val="center"/>
          </w:tcPr>
          <w:p>
            <w:r>
              <w:rPr>
                <w:b w:val="false"/>
                <w:bCs w:val="false"/>
                <w:sz w:val="16"/>
                <w:szCs w:val="16"/>
              </w:rPr>
              <w:t xml:space="preserve">Enterprise ERP/HCM/payroll</w:t>
            </w:r>
          </w:p>
        </w:tc>
        <w:tc>
          <w:tcPr>
            <w:tcW w:type="dxa" w:w="2900"/>
            <w:shd w:fill="F3F4F6" w:val="clear"/>
            <w:tcMar>
              <w:top w:type="dxa" w:w="60"/>
              <w:left w:type="dxa" w:w="100"/>
              <w:bottom w:type="dxa" w:w="60"/>
              <w:right w:type="dxa" w:w="100"/>
            </w:tcMar>
            <w:vAlign w:val="center"/>
          </w:tcPr>
          <w:p>
            <w:r>
              <w:rPr>
                <w:b w:val="false"/>
                <w:bCs w:val="false"/>
                <w:sz w:val="16"/>
                <w:szCs w:val="16"/>
              </w:rPr>
              <w:t xml:space="preserve">India-HQ, global 800+ customers (own site) vs. 1,000+ (G2, unresolved discrepancy); FY26 revenue $79.9M (+13% YoY); repositioning "AI-native" July 2026 under new CEO</w:t>
            </w:r>
          </w:p>
        </w:tc>
        <w:tc>
          <w:tcPr>
            <w:tcW w:type="dxa" w:w="2700"/>
            <w:shd w:fill="F3F4F6" w:val="clear"/>
            <w:tcMar>
              <w:top w:type="dxa" w:w="60"/>
              <w:left w:type="dxa" w:w="100"/>
              <w:bottom w:type="dxa" w:w="60"/>
              <w:right w:type="dxa" w:w="100"/>
            </w:tcMar>
            <w:vAlign w:val="center"/>
          </w:tcPr>
          <w:p>
            <w:r>
              <w:rPr>
                <w:b w:val="false"/>
                <w:bCs w:val="false"/>
                <w:sz w:val="16"/>
                <w:szCs w:val="16"/>
              </w:rPr>
              <w:t xml:space="preserve">The one India-HQ company credibly competing in the same enterprise/global tier FusionOS ultimately aims for, though Ramco's strength is HCM/payroll rather than full operations ERP</w:t>
            </w:r>
          </w:p>
        </w:tc>
      </w:tr>
      <w:tr>
        <w:tc>
          <w:tcPr>
            <w:tcW w:type="dxa" w:w="1700"/>
            <w:shd w:fill="FFFFFF" w:val="clear"/>
            <w:tcMar>
              <w:top w:type="dxa" w:w="60"/>
              <w:left w:type="dxa" w:w="100"/>
              <w:bottom w:type="dxa" w:w="60"/>
              <w:right w:type="dxa" w:w="100"/>
            </w:tcMar>
            <w:vAlign w:val="center"/>
          </w:tcPr>
          <w:p>
            <w:r>
              <w:rPr>
                <w:b w:val="false"/>
                <w:bCs w:val="false"/>
                <w:sz w:val="16"/>
                <w:szCs w:val="16"/>
              </w:rPr>
              <w:t xml:space="preserve">Ginesys</w:t>
            </w:r>
          </w:p>
        </w:tc>
        <w:tc>
          <w:tcPr>
            <w:tcW w:type="dxa" w:w="2200"/>
            <w:shd w:fill="FFFFFF" w:val="clear"/>
            <w:tcMar>
              <w:top w:type="dxa" w:w="60"/>
              <w:left w:type="dxa" w:w="100"/>
              <w:bottom w:type="dxa" w:w="60"/>
              <w:right w:type="dxa" w:w="100"/>
            </w:tcMar>
            <w:vAlign w:val="center"/>
          </w:tcPr>
          <w:p>
            <w:r>
              <w:rPr>
                <w:b w:val="false"/>
                <w:bCs w:val="false"/>
                <w:sz w:val="16"/>
                <w:szCs w:val="16"/>
              </w:rPr>
              <w:t xml:space="preserve">Retail-vertical ERP</w:t>
            </w:r>
          </w:p>
        </w:tc>
        <w:tc>
          <w:tcPr>
            <w:tcW w:type="dxa" w:w="2900"/>
            <w:shd w:fill="FFFFFF" w:val="clear"/>
            <w:tcMar>
              <w:top w:type="dxa" w:w="60"/>
              <w:left w:type="dxa" w:w="100"/>
              <w:bottom w:type="dxa" w:w="60"/>
              <w:right w:type="dxa" w:w="100"/>
            </w:tcMar>
            <w:vAlign w:val="center"/>
          </w:tcPr>
          <w:p>
            <w:r>
              <w:rPr>
                <w:b w:val="false"/>
                <w:bCs w:val="false"/>
                <w:sz w:val="16"/>
                <w:szCs w:val="16"/>
              </w:rPr>
              <w:t xml:space="preserve">"1,200+ customers" incl. named retail brands (single-source, unverified); only 8 G2 reviews; has native finance unlike most inventory-only tools</w:t>
            </w:r>
          </w:p>
        </w:tc>
        <w:tc>
          <w:tcPr>
            <w:tcW w:type="dxa" w:w="2700"/>
            <w:shd w:fill="FFFFFF" w:val="clear"/>
            <w:tcMar>
              <w:top w:type="dxa" w:w="60"/>
              <w:left w:type="dxa" w:w="100"/>
              <w:bottom w:type="dxa" w:w="60"/>
              <w:right w:type="dxa" w:w="100"/>
            </w:tcMar>
            <w:vAlign w:val="center"/>
          </w:tcPr>
          <w:p>
            <w:r>
              <w:rPr>
                <w:b w:val="false"/>
                <w:bCs w:val="false"/>
                <w:sz w:val="16"/>
                <w:szCs w:val="16"/>
              </w:rPr>
              <w:t xml:space="preserve">Narrow retail-vertical niche, low direct overlap</w:t>
            </w:r>
          </w:p>
        </w:tc>
      </w:tr>
    </w:tbl>
    <w:p>
      <w:pPr>
        <w:pStyle w:val="Heading2"/>
        <w:spacing w:after="150" w:before="300"/>
      </w:pPr>
      <w:r>
        <w:t xml:space="preserve">8.1 What this means for FusionOS</w:t>
      </w:r>
    </w:p>
    <w:p>
      <w:pPr>
        <w:pStyle w:val="ListParagraph"/>
        <w:numPr>
          <w:ilvl w:val="0"/>
          <w:numId w:val="1"/>
        </w:numPr>
        <w:spacing w:after="80"/>
      </w:pPr>
      <w:r>
        <w:rPr>
          <w:sz w:val="21"/>
          <w:szCs w:val="21"/>
        </w:rPr>
        <w:t xml:space="preserve">If FusionOS ever targets India SMBs directly, Tally and Busy's installed-base and GST-compliance workflows are the incumbent to displace or integrate with, not SAP or Oracle.</w:t>
      </w:r>
    </w:p>
    <w:p>
      <w:pPr>
        <w:pStyle w:val="ListParagraph"/>
        <w:numPr>
          <w:ilvl w:val="0"/>
          <w:numId w:val="1"/>
        </w:numPr>
        <w:spacing w:after="80"/>
      </w:pPr>
      <w:r>
        <w:rPr>
          <w:sz w:val="21"/>
          <w:szCs w:val="21"/>
        </w:rPr>
        <w:t xml:space="preserve">ERPNext (Frappe) is the closest architecture-for-architecture India comparison - open-source, modular, self-hostable or cloud, no per-user fee. It is a useful reference point for what "India-built, globally credible ERP" looks like when it works.</w:t>
      </w:r>
    </w:p>
    <w:p>
      <w:pPr>
        <w:pStyle w:val="ListParagraph"/>
        <w:numPr>
          <w:ilvl w:val="0"/>
          <w:numId w:val="1"/>
        </w:numPr>
        <w:spacing w:after="80"/>
      </w:pPr>
      <w:r>
        <w:rPr>
          <w:sz w:val="21"/>
          <w:szCs w:val="21"/>
        </w:rPr>
        <w:t xml:space="preserve">Ramco is the clearest proof that an India-HQ ERP/HCM company can compete in the global enterprise tier - relevant as a long-term existence proof, not a near-term competitor for FusionOS's current build stage.</w:t>
      </w:r>
    </w:p>
    <w:p>
      <w:pPr>
        <w:pStyle w:val="ListParagraph"/>
        <w:numPr>
          <w:ilvl w:val="0"/>
          <w:numId w:val="1"/>
        </w:numPr>
        <w:spacing w:after="80"/>
      </w:pPr>
      <w:r>
        <w:rPr>
          <w:b/>
          <w:bCs/>
          <w:color w:val="92400E"/>
        </w:rPr>
        <w:t xml:space="preserve">Caveat: </w:t>
      </w:r>
      <w:r>
        <w:rPr>
          <w:i/>
          <w:iCs/>
        </w:rPr>
        <w:t xml:space="preserve">customer-count and revenue claims for Busy, Marg, and Ginesys above are vendor-stated and uncorroborated by independent filings; Ramco's own site and G2 conflict on customer count. These should be treated as directional, not authoritative.</w:t>
      </w:r>
    </w:p>
    <w:p>
      <w:r>
        <w:br w:type="page"/>
      </w:r>
    </w:p>
    <w:p>
      <w:pPr>
        <w:pStyle w:val="Heading1"/>
        <w:spacing w:after="200" w:before="400"/>
      </w:pPr>
      <w:r>
        <w:t xml:space="preserve">7. FusionOS Current Build State - Honest Baseline</w:t>
      </w:r>
    </w:p>
    <w:p>
      <w:pPr>
        <w:spacing w:after="160" w:line="276"/>
      </w:pPr>
      <w:r>
        <w:rPr>
          <w:sz w:val="21"/>
          <w:szCs w:val="21"/>
        </w:rPr>
        <w:t xml:space="preserve">Before comparing FusionOS to any competitor on capability, its actual current state needs to be stated plainly, because it differs sharply from how a roadmap deck would normally frame it.</w:t>
      </w:r>
    </w:p>
    <w:p>
      <w:pPr>
        <w:pStyle w:val="Heading2"/>
        <w:spacing w:after="150" w:before="300"/>
      </w:pPr>
      <w:r>
        <w:t xml:space="preserve">9.1 What is written</w:t>
      </w:r>
    </w:p>
    <w:p>
      <w:pPr>
        <w:pStyle w:val="ListParagraph"/>
        <w:numPr>
          <w:ilvl w:val="0"/>
          <w:numId w:val="1"/>
        </w:numPr>
        <w:spacing w:after="80"/>
      </w:pPr>
      <w:r>
        <w:rPr>
          <w:sz w:val="21"/>
          <w:szCs w:val="21"/>
        </w:rPr>
        <w:t xml:space="preserve">Core: authentication, RBAC (roles/permissions/user assignment), company management, settings, audit log, approval requests, notifications.</w:t>
      </w:r>
    </w:p>
    <w:p>
      <w:pPr>
        <w:pStyle w:val="ListParagraph"/>
        <w:numPr>
          <w:ilvl w:val="0"/>
          <w:numId w:val="1"/>
        </w:numPr>
        <w:spacing w:after="80"/>
      </w:pPr>
      <w:r>
        <w:rPr>
          <w:sz w:val="21"/>
          <w:szCs w:val="21"/>
        </w:rPr>
        <w:t xml:space="preserve">Finance: chart of accounts, journal entries (draft + post), accounts receivable ledger with payment recording, and Cost Centers (in progress - domain, application, and API layers written; handler tests, frontend panel, and tracker update still pending).</w:t>
      </w:r>
    </w:p>
    <w:p>
      <w:pPr>
        <w:pStyle w:val="ListParagraph"/>
        <w:numPr>
          <w:ilvl w:val="0"/>
          <w:numId w:val="1"/>
        </w:numPr>
        <w:spacing w:after="80"/>
      </w:pPr>
      <w:r>
        <w:rPr>
          <w:sz w:val="21"/>
          <w:szCs w:val="21"/>
        </w:rPr>
        <w:t xml:space="preserve">Inventory: products, stock ledger, weighted-average costing, batch/lot/serial tracking, multi-UOM conversions.</w:t>
      </w:r>
    </w:p>
    <w:p>
      <w:pPr>
        <w:pStyle w:val="ListParagraph"/>
        <w:numPr>
          <w:ilvl w:val="0"/>
          <w:numId w:val="1"/>
        </w:numPr>
        <w:spacing w:after="80"/>
      </w:pPr>
      <w:r>
        <w:rPr>
          <w:sz w:val="21"/>
          <w:szCs w:val="21"/>
        </w:rPr>
        <w:t xml:space="preserve">Procurement: suppliers, purchase orders (with maker-checker self-approval guard), RFQs (create/send/quote/award/convert), supplier scorecards, supplier contracts.</w:t>
      </w:r>
    </w:p>
    <w:p>
      <w:pPr>
        <w:pStyle w:val="ListParagraph"/>
        <w:numPr>
          <w:ilvl w:val="0"/>
          <w:numId w:val="1"/>
        </w:numPr>
        <w:spacing w:after="80"/>
      </w:pPr>
      <w:r>
        <w:rPr>
          <w:sz w:val="21"/>
          <w:szCs w:val="21"/>
        </w:rPr>
        <w:t xml:space="preserve">Sales: customers, price lists, quotations, sales orders, invoices, dispatches, credit notes, salesperson commissions.</w:t>
      </w:r>
    </w:p>
    <w:p>
      <w:pPr>
        <w:pStyle w:val="ListParagraph"/>
        <w:numPr>
          <w:ilvl w:val="0"/>
          <w:numId w:val="1"/>
        </w:numPr>
        <w:spacing w:after="80"/>
      </w:pPr>
      <w:r>
        <w:rPr>
          <w:sz w:val="21"/>
          <w:szCs w:val="21"/>
        </w:rPr>
        <w:t xml:space="preserve">Warehouse/WMS: warehouses, zones, bins, goods receipts with putaway suggestion/confirmation, cycle counts, pick lists.</w:t>
      </w:r>
    </w:p>
    <w:p>
      <w:pPr>
        <w:pStyle w:val="Heading2"/>
        <w:spacing w:after="150" w:before="300"/>
      </w:pPr>
      <w:r>
        <w:t xml:space="preserve">9.2 What is not yet written</w:t>
      </w:r>
    </w:p>
    <w:p>
      <w:pPr>
        <w:pStyle w:val="ListParagraph"/>
        <w:numPr>
          <w:ilvl w:val="0"/>
          <w:numId w:val="1"/>
        </w:numPr>
        <w:spacing w:after="80"/>
      </w:pPr>
      <w:r>
        <w:rPr>
          <w:sz w:val="21"/>
          <w:szCs w:val="21"/>
        </w:rPr>
        <w:t xml:space="preserve">Multi-jurisdiction tax engine, accounts payable ledger, bank reconciliation, multi-currency support, budgeting, and fixed-asset accounting (Phase M8b-M8h - all pending).</w:t>
      </w:r>
    </w:p>
    <w:p>
      <w:pPr>
        <w:pStyle w:val="ListParagraph"/>
        <w:numPr>
          <w:ilvl w:val="0"/>
          <w:numId w:val="1"/>
        </w:numPr>
        <w:spacing w:after="80"/>
      </w:pPr>
      <w:r>
        <w:rPr>
          <w:sz w:val="21"/>
          <w:szCs w:val="21"/>
        </w:rPr>
        <w:t xml:space="preserve">Any shipped AI feature of any kind. FusionOS's AI story is currently 100% architectural (an event backbone designed so future AI features can consume real-time events rather than batch-ETL'd data) - there is no copilot, no natural-language query, no document processing, nothing a user could try today.</w:t>
      </w:r>
    </w:p>
    <w:p>
      <w:pPr>
        <w:pStyle w:val="ListParagraph"/>
        <w:numPr>
          <w:ilvl w:val="0"/>
          <w:numId w:val="1"/>
        </w:numPr>
        <w:spacing w:after="80"/>
      </w:pPr>
      <w:r>
        <w:rPr>
          <w:sz w:val="21"/>
          <w:szCs w:val="21"/>
        </w:rPr>
        <w:t xml:space="preserve">A marketplace/ecosystem of any kind (every competitor in Tier 1 and most of Tier 2 has one).</w:t>
      </w:r>
    </w:p>
    <w:p>
      <w:pPr>
        <w:pStyle w:val="Heading2"/>
        <w:spacing w:after="150" w:before="300"/>
      </w:pPr>
      <w:r>
        <w:t xml:space="preserve">9.3 What has never happened, at all</w:t>
      </w:r>
    </w:p>
    <w:p>
      <w:pPr>
        <w:pStyle w:val="ListParagraph"/>
        <w:numPr>
          <w:ilvl w:val="0"/>
          <w:numId w:val="1"/>
        </w:numPr>
        <w:spacing w:after="80"/>
      </w:pPr>
      <w:r>
        <w:rPr>
          <w:b/>
          <w:bCs/>
        </w:rPr>
        <w:t xml:space="preserve">The backend has never been compiled with a real .NET compiler in this project's working environment. </w:t>
      </w:r>
      <w:r>
        <w:t xml:space="preserve">No EF Core migration has ever been generated or applied. Every backend test file in the repository (dozens, across Core/Inventory/Warehouse/Procurement/Sales/Finance) has been written by careful manual reading of each handler's contract shape, following established codebase conventions - none has ever actually been run.</w:t>
      </w:r>
    </w:p>
    <w:p>
      <w:pPr>
        <w:pStyle w:val="ListParagraph"/>
        <w:numPr>
          <w:ilvl w:val="0"/>
          <w:numId w:val="1"/>
        </w:numPr>
        <w:spacing w:after="80"/>
      </w:pPr>
      <w:r>
        <w:rPr>
          <w:sz w:val="21"/>
          <w:szCs w:val="21"/>
        </w:rPr>
        <w:t xml:space="preserve">Production readiness is independently tracked in the project's own PROJECT_TRACKER.md at 0% verified. Overall completion is a source-code-presence estimate (~35%), explicitly not a measured or verified figure.</w:t>
      </w:r>
    </w:p>
    <w:p>
      <w:pPr>
        <w:spacing w:after="160" w:line="276"/>
      </w:pPr>
      <w:r>
        <w:rPr>
          <w:b/>
          <w:bCs/>
        </w:rPr>
        <w:t xml:space="preserve">This is the single fact that should govern how every other section of this report is read: </w:t>
      </w:r>
      <w:r>
        <w:t xml:space="preserve">FusionOS is being benchmarked against 31 live, revenue-generating products while itself having never run.</w:t>
      </w:r>
    </w:p>
    <w:p>
      <w:r>
        <w:br w:type="page"/>
      </w:r>
    </w:p>
    <w:p>
      <w:pPr>
        <w:pStyle w:val="Heading1"/>
        <w:spacing w:after="200" w:before="400"/>
      </w:pPr>
      <w:r>
        <w:t xml:space="preserve">8. Benchmark Matrix: Design Intent vs. Actual State</w:t>
      </w:r>
    </w:p>
    <w:p>
      <w:pPr>
        <w:spacing w:after="160" w:line="276"/>
      </w:pPr>
      <w:r>
        <w:rPr>
          <w:sz w:val="21"/>
          <w:szCs w:val="21"/>
        </w:rPr>
        <w:t xml:space="preserve">This matrix intentionally splits FusionOS into two columns - what the architecture is designed to achieve, and what has actually been built and verified - because collapsing them into one column is exactly the kind of marketing over-reach this report is trying to avoid making about FusionOS itself.</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500"/>
      </w:tblGrid>
      <w:tr>
        <w:trPr>
          <w:tblHeader/>
        </w:trPr>
        <w:tc>
          <w:tcPr>
            <w:tcW w:type="dxa" w:w="1600"/>
            <w:shd w:fill="1F2937" w:val="clear"/>
            <w:tcMar>
              <w:top w:type="dxa" w:w="60"/>
              <w:left w:type="dxa" w:w="100"/>
              <w:bottom w:type="dxa" w:w="60"/>
              <w:right w:type="dxa" w:w="100"/>
            </w:tcMar>
            <w:vAlign w:val="center"/>
          </w:tcPr>
          <w:p>
            <w:r>
              <w:rPr>
                <w:b/>
                <w:bCs/>
                <w:color w:val="FFFFFF"/>
                <w:sz w:val="17"/>
                <w:szCs w:val="17"/>
              </w:rPr>
              <w:t xml:space="preserve">Dimension</w:t>
            </w:r>
          </w:p>
        </w:tc>
        <w:tc>
          <w:tcPr>
            <w:tcW w:type="dxa" w:w="2400"/>
            <w:shd w:fill="1F2937" w:val="clear"/>
            <w:tcMar>
              <w:top w:type="dxa" w:w="60"/>
              <w:left w:type="dxa" w:w="100"/>
              <w:bottom w:type="dxa" w:w="60"/>
              <w:right w:type="dxa" w:w="100"/>
            </w:tcMar>
            <w:vAlign w:val="center"/>
          </w:tcPr>
          <w:p>
            <w:r>
              <w:rPr>
                <w:b/>
                <w:bCs/>
                <w:color w:val="FFFFFF"/>
                <w:sz w:val="17"/>
                <w:szCs w:val="17"/>
              </w:rPr>
              <w:t xml:space="preserve">Where the Market Sits</w:t>
            </w:r>
          </w:p>
        </w:tc>
        <w:tc>
          <w:tcPr>
            <w:tcW w:type="dxa" w:w="2400"/>
            <w:shd w:fill="1F2937" w:val="clear"/>
            <w:tcMar>
              <w:top w:type="dxa" w:w="60"/>
              <w:left w:type="dxa" w:w="100"/>
              <w:bottom w:type="dxa" w:w="60"/>
              <w:right w:type="dxa" w:w="100"/>
            </w:tcMar>
            <w:vAlign w:val="center"/>
          </w:tcPr>
          <w:p>
            <w:r>
              <w:rPr>
                <w:b/>
                <w:bCs/>
                <w:color w:val="FFFFFF"/>
                <w:sz w:val="17"/>
                <w:szCs w:val="17"/>
              </w:rPr>
              <w:t xml:space="preserve">FusionOS Target (design intent)</w:t>
            </w:r>
          </w:p>
        </w:tc>
        <w:tc>
          <w:tcPr>
            <w:tcW w:type="dxa" w:w="2500"/>
            <w:shd w:fill="1F2937" w:val="clear"/>
            <w:tcMar>
              <w:top w:type="dxa" w:w="60"/>
              <w:left w:type="dxa" w:w="100"/>
              <w:bottom w:type="dxa" w:w="60"/>
              <w:right w:type="dxa" w:w="100"/>
            </w:tcMar>
            <w:vAlign w:val="center"/>
          </w:tcPr>
          <w:p>
            <w:r>
              <w:rPr>
                <w:b/>
                <w:bCs/>
                <w:color w:val="FFFFFF"/>
                <w:sz w:val="17"/>
                <w:szCs w:val="17"/>
              </w:rPr>
              <w:t xml:space="preserve">FusionOS Actual (today)</w:t>
            </w:r>
          </w:p>
        </w:tc>
      </w:tr>
      <w:tr>
        <w:tc>
          <w:tcPr>
            <w:tcW w:type="dxa" w:w="1600"/>
            <w:shd w:fill="FFFFFF" w:val="clear"/>
            <w:tcMar>
              <w:top w:type="dxa" w:w="60"/>
              <w:left w:type="dxa" w:w="100"/>
              <w:bottom w:type="dxa" w:w="60"/>
              <w:right w:type="dxa" w:w="100"/>
            </w:tcMar>
            <w:vAlign w:val="center"/>
          </w:tcPr>
          <w:p>
            <w:r>
              <w:rPr>
                <w:b w:val="false"/>
                <w:bCs w:val="false"/>
                <w:sz w:val="16"/>
                <w:szCs w:val="16"/>
              </w:rPr>
              <w:t xml:space="preserve">Architecture</w:t>
            </w:r>
          </w:p>
        </w:tc>
        <w:tc>
          <w:tcPr>
            <w:tcW w:type="dxa" w:w="2400"/>
            <w:shd w:fill="FFFFFF" w:val="clear"/>
            <w:tcMar>
              <w:top w:type="dxa" w:w="60"/>
              <w:left w:type="dxa" w:w="100"/>
              <w:bottom w:type="dxa" w:w="60"/>
              <w:right w:type="dxa" w:w="100"/>
            </w:tcMar>
            <w:vAlign w:val="center"/>
          </w:tcPr>
          <w:p>
            <w:r>
              <w:rPr>
                <w:b w:val="false"/>
                <w:bCs w:val="false"/>
                <w:sz w:val="16"/>
                <w:szCs w:val="16"/>
              </w:rPr>
              <w:t xml:space="preserve">Mix of modernized-legacy (SAP), cloud-native (NetSuite), and open-source modular (Odoo/ERPNext/Frappe)</w:t>
            </w:r>
          </w:p>
        </w:tc>
        <w:tc>
          <w:tcPr>
            <w:tcW w:type="dxa" w:w="2400"/>
            <w:shd w:fill="FFFFFF" w:val="clear"/>
            <w:tcMar>
              <w:top w:type="dxa" w:w="60"/>
              <w:left w:type="dxa" w:w="100"/>
              <w:bottom w:type="dxa" w:w="60"/>
              <w:right w:type="dxa" w:w="100"/>
            </w:tcMar>
            <w:vAlign w:val="center"/>
          </w:tcPr>
          <w:p>
            <w:r>
              <w:rPr>
                <w:b w:val="false"/>
                <w:bCs w:val="false"/>
                <w:sz w:val="16"/>
                <w:szCs w:val="16"/>
              </w:rPr>
              <w:t xml:space="preserve">Modular monolith, event-driven, extraction-ready</w:t>
            </w:r>
          </w:p>
        </w:tc>
        <w:tc>
          <w:tcPr>
            <w:tcW w:type="dxa" w:w="2500"/>
            <w:shd w:fill="FFFFFF" w:val="clear"/>
            <w:tcMar>
              <w:top w:type="dxa" w:w="60"/>
              <w:left w:type="dxa" w:w="100"/>
              <w:bottom w:type="dxa" w:w="60"/>
              <w:right w:type="dxa" w:w="100"/>
            </w:tcMar>
            <w:vAlign w:val="center"/>
          </w:tcPr>
          <w:p>
            <w:r>
              <w:rPr>
                <w:b w:val="false"/>
                <w:bCs w:val="false"/>
                <w:sz w:val="16"/>
                <w:szCs w:val="16"/>
              </w:rPr>
              <w:t xml:space="preserve">Written per-module, following the design; never compiled or run</w:t>
            </w:r>
          </w:p>
        </w:tc>
      </w:tr>
      <w:tr>
        <w:tc>
          <w:tcPr>
            <w:tcW w:type="dxa" w:w="1600"/>
            <w:shd w:fill="F3F4F6" w:val="clear"/>
            <w:tcMar>
              <w:top w:type="dxa" w:w="60"/>
              <w:left w:type="dxa" w:w="100"/>
              <w:bottom w:type="dxa" w:w="60"/>
              <w:right w:type="dxa" w:w="100"/>
            </w:tcMar>
            <w:vAlign w:val="center"/>
          </w:tcPr>
          <w:p>
            <w:r>
              <w:rPr>
                <w:b w:val="false"/>
                <w:bCs w:val="false"/>
                <w:sz w:val="16"/>
                <w:szCs w:val="16"/>
              </w:rPr>
              <w:t xml:space="preserve">Deployment flexibility</w:t>
            </w:r>
          </w:p>
        </w:tc>
        <w:tc>
          <w:tcPr>
            <w:tcW w:type="dxa" w:w="2400"/>
            <w:shd w:fill="F3F4F6" w:val="clear"/>
            <w:tcMar>
              <w:top w:type="dxa" w:w="60"/>
              <w:left w:type="dxa" w:w="100"/>
              <w:bottom w:type="dxa" w:w="60"/>
              <w:right w:type="dxa" w:w="100"/>
            </w:tcMar>
            <w:vAlign w:val="center"/>
          </w:tcPr>
          <w:p>
            <w:r>
              <w:rPr>
                <w:b w:val="false"/>
                <w:bCs w:val="false"/>
                <w:sz w:val="16"/>
                <w:szCs w:val="16"/>
              </w:rPr>
              <w:t xml:space="preserve">Most vendors force a choice or maintain divergent cloud/on-prem product lines (SAP, Dynamics)</w:t>
            </w:r>
          </w:p>
        </w:tc>
        <w:tc>
          <w:tcPr>
            <w:tcW w:type="dxa" w:w="2400"/>
            <w:shd w:fill="F3F4F6" w:val="clear"/>
            <w:tcMar>
              <w:top w:type="dxa" w:w="60"/>
              <w:left w:type="dxa" w:w="100"/>
              <w:bottom w:type="dxa" w:w="60"/>
              <w:right w:type="dxa" w:w="100"/>
            </w:tcMar>
            <w:vAlign w:val="center"/>
          </w:tcPr>
          <w:p>
            <w:r>
              <w:rPr>
                <w:b w:val="false"/>
                <w:bCs w:val="false"/>
                <w:sz w:val="16"/>
                <w:szCs w:val="16"/>
              </w:rPr>
              <w:t xml:space="preserve">Same codebase, both cloud and on-prem, from day one</w:t>
            </w:r>
          </w:p>
        </w:tc>
        <w:tc>
          <w:tcPr>
            <w:tcW w:type="dxa" w:w="2500"/>
            <w:shd w:fill="F3F4F6" w:val="clear"/>
            <w:tcMar>
              <w:top w:type="dxa" w:w="60"/>
              <w:left w:type="dxa" w:w="100"/>
              <w:bottom w:type="dxa" w:w="60"/>
              <w:right w:type="dxa" w:w="100"/>
            </w:tcMar>
            <w:vAlign w:val="center"/>
          </w:tcPr>
          <w:p>
            <w:r>
              <w:rPr>
                <w:b w:val="false"/>
                <w:bCs w:val="false"/>
                <w:sz w:val="16"/>
                <w:szCs w:val="16"/>
              </w:rPr>
              <w:t xml:space="preserve">Design intent only - no deployment of any kind has occurred yet</w:t>
            </w:r>
          </w:p>
        </w:tc>
      </w:tr>
      <w:tr>
        <w:tc>
          <w:tcPr>
            <w:tcW w:type="dxa" w:w="1600"/>
            <w:shd w:fill="FFFFFF" w:val="clear"/>
            <w:tcMar>
              <w:top w:type="dxa" w:w="60"/>
              <w:left w:type="dxa" w:w="100"/>
              <w:bottom w:type="dxa" w:w="60"/>
              <w:right w:type="dxa" w:w="100"/>
            </w:tcMar>
            <w:vAlign w:val="center"/>
          </w:tcPr>
          <w:p>
            <w:r>
              <w:rPr>
                <w:b w:val="false"/>
                <w:bCs w:val="false"/>
                <w:sz w:val="16"/>
                <w:szCs w:val="16"/>
              </w:rPr>
              <w:t xml:space="preserve">AI maturity</w:t>
            </w:r>
          </w:p>
        </w:tc>
        <w:tc>
          <w:tcPr>
            <w:tcW w:type="dxa" w:w="2400"/>
            <w:shd w:fill="FFFFFF" w:val="clear"/>
            <w:tcMar>
              <w:top w:type="dxa" w:w="60"/>
              <w:left w:type="dxa" w:w="100"/>
              <w:bottom w:type="dxa" w:w="60"/>
              <w:right w:type="dxa" w:w="100"/>
            </w:tcMar>
            <w:vAlign w:val="center"/>
          </w:tcPr>
          <w:p>
            <w:r>
              <w:rPr>
                <w:b w:val="false"/>
                <w:bCs w:val="false"/>
                <w:sz w:val="16"/>
                <w:szCs w:val="16"/>
              </w:rPr>
              <w:t xml:space="preserve">Nearly universal shipped-or-announced AI across all 31 products researched, though several claims outpace the product (Sage X3, several small-sample G2 ratings)</w:t>
            </w:r>
          </w:p>
        </w:tc>
        <w:tc>
          <w:tcPr>
            <w:tcW w:type="dxa" w:w="2400"/>
            <w:shd w:fill="FFFFFF" w:val="clear"/>
            <w:tcMar>
              <w:top w:type="dxa" w:w="60"/>
              <w:left w:type="dxa" w:w="100"/>
              <w:bottom w:type="dxa" w:w="60"/>
              <w:right w:type="dxa" w:w="100"/>
            </w:tcMar>
            <w:vAlign w:val="center"/>
          </w:tcPr>
          <w:p>
            <w:r>
              <w:rPr>
                <w:b w:val="false"/>
                <w:bCs w:val="false"/>
                <w:sz w:val="16"/>
                <w:szCs w:val="16"/>
              </w:rPr>
              <w:t xml:space="preserve">AI as infrastructure consuming the real-time event backbone, not a bolt-on chatbot</w:t>
            </w:r>
          </w:p>
        </w:tc>
        <w:tc>
          <w:tcPr>
            <w:tcW w:type="dxa" w:w="2500"/>
            <w:shd w:fill="FFFFFF" w:val="clear"/>
            <w:tcMar>
              <w:top w:type="dxa" w:w="60"/>
              <w:left w:type="dxa" w:w="100"/>
              <w:bottom w:type="dxa" w:w="60"/>
              <w:right w:type="dxa" w:w="100"/>
            </w:tcMar>
            <w:vAlign w:val="center"/>
          </w:tcPr>
          <w:p>
            <w:r>
              <w:rPr>
                <w:b w:val="false"/>
                <w:bCs w:val="false"/>
                <w:sz w:val="16"/>
                <w:szCs w:val="16"/>
              </w:rPr>
              <w:t xml:space="preserve">Zero shipped AI features. Architecture designed to make future AI cheap to build, unproven in practice</w:t>
            </w:r>
          </w:p>
        </w:tc>
      </w:tr>
      <w:tr>
        <w:tc>
          <w:tcPr>
            <w:tcW w:type="dxa" w:w="1600"/>
            <w:shd w:fill="F3F4F6" w:val="clear"/>
            <w:tcMar>
              <w:top w:type="dxa" w:w="60"/>
              <w:left w:type="dxa" w:w="100"/>
              <w:bottom w:type="dxa" w:w="60"/>
              <w:right w:type="dxa" w:w="100"/>
            </w:tcMar>
            <w:vAlign w:val="center"/>
          </w:tcPr>
          <w:p>
            <w:r>
              <w:rPr>
                <w:b w:val="false"/>
                <w:bCs w:val="false"/>
                <w:sz w:val="16"/>
                <w:szCs w:val="16"/>
              </w:rPr>
              <w:t xml:space="preserve">Implementation time</w:t>
            </w:r>
          </w:p>
        </w:tc>
        <w:tc>
          <w:tcPr>
            <w:tcW w:type="dxa" w:w="2400"/>
            <w:shd w:fill="F3F4F6" w:val="clear"/>
            <w:tcMar>
              <w:top w:type="dxa" w:w="60"/>
              <w:left w:type="dxa" w:w="100"/>
              <w:bottom w:type="dxa" w:w="60"/>
              <w:right w:type="dxa" w:w="100"/>
            </w:tcMar>
            <w:vAlign w:val="center"/>
          </w:tcPr>
          <w:p>
            <w:r>
              <w:rPr>
                <w:b w:val="false"/>
                <w:bCs w:val="false"/>
                <w:sz w:val="16"/>
                <w:szCs w:val="16"/>
              </w:rPr>
              <w:t xml:space="preserve">Enterprise tier: 6-18+ months. Mid-market: weeks to months. SMB/open-source: weeks</w:t>
            </w:r>
          </w:p>
        </w:tc>
        <w:tc>
          <w:tcPr>
            <w:tcW w:type="dxa" w:w="2400"/>
            <w:shd w:fill="F3F4F6" w:val="clear"/>
            <w:tcMar>
              <w:top w:type="dxa" w:w="60"/>
              <w:left w:type="dxa" w:w="100"/>
              <w:bottom w:type="dxa" w:w="60"/>
              <w:right w:type="dxa" w:w="100"/>
            </w:tcMar>
            <w:vAlign w:val="center"/>
          </w:tcPr>
          <w:p>
            <w:r>
              <w:rPr>
                <w:b w:val="false"/>
                <w:bCs w:val="false"/>
                <w:sz w:val="16"/>
                <w:szCs w:val="16"/>
              </w:rPr>
              <w:t xml:space="preserve">Weeks, config-first over custom-code-first</w:t>
            </w:r>
          </w:p>
        </w:tc>
        <w:tc>
          <w:tcPr>
            <w:tcW w:type="dxa" w:w="2500"/>
            <w:shd w:fill="F3F4F6" w:val="clear"/>
            <w:tcMar>
              <w:top w:type="dxa" w:w="60"/>
              <w:left w:type="dxa" w:w="100"/>
              <w:bottom w:type="dxa" w:w="60"/>
              <w:right w:type="dxa" w:w="100"/>
            </w:tcMar>
            <w:vAlign w:val="center"/>
          </w:tcPr>
          <w:p>
            <w:r>
              <w:rPr>
                <w:b w:val="false"/>
                <w:bCs w:val="false"/>
                <w:sz w:val="16"/>
                <w:szCs w:val="16"/>
              </w:rPr>
              <w:t xml:space="preserve">Not yet measurable - no live implementation has ever occurred</w:t>
            </w:r>
          </w:p>
        </w:tc>
      </w:tr>
      <w:tr>
        <w:tc>
          <w:tcPr>
            <w:tcW w:type="dxa" w:w="1600"/>
            <w:shd w:fill="FFFFFF" w:val="clear"/>
            <w:tcMar>
              <w:top w:type="dxa" w:w="60"/>
              <w:left w:type="dxa" w:w="100"/>
              <w:bottom w:type="dxa" w:w="60"/>
              <w:right w:type="dxa" w:w="100"/>
            </w:tcMar>
            <w:vAlign w:val="center"/>
          </w:tcPr>
          <w:p>
            <w:r>
              <w:rPr>
                <w:b w:val="false"/>
                <w:bCs w:val="false"/>
                <w:sz w:val="16"/>
                <w:szCs w:val="16"/>
              </w:rPr>
              <w:t xml:space="preserve">Customization model</w:t>
            </w:r>
          </w:p>
        </w:tc>
        <w:tc>
          <w:tcPr>
            <w:tcW w:type="dxa" w:w="2400"/>
            <w:shd w:fill="FFFFFF" w:val="clear"/>
            <w:tcMar>
              <w:top w:type="dxa" w:w="60"/>
              <w:left w:type="dxa" w:w="100"/>
              <w:bottom w:type="dxa" w:w="60"/>
              <w:right w:type="dxa" w:w="100"/>
            </w:tcMar>
            <w:vAlign w:val="center"/>
          </w:tcPr>
          <w:p>
            <w:r>
              <w:rPr>
                <w:b w:val="false"/>
                <w:bCs w:val="false"/>
                <w:sz w:val="16"/>
                <w:szCs w:val="16"/>
              </w:rPr>
              <w:t xml:space="preserve">ABAP (SAP), SuiteScript (NetSuite), Power Platform (Dynamics), Python overrides (Odoo/ERPNext) - most carry real upgrade risk</w:t>
            </w:r>
          </w:p>
        </w:tc>
        <w:tc>
          <w:tcPr>
            <w:tcW w:type="dxa" w:w="2400"/>
            <w:shd w:fill="FFFFFF" w:val="clear"/>
            <w:tcMar>
              <w:top w:type="dxa" w:w="60"/>
              <w:left w:type="dxa" w:w="100"/>
              <w:bottom w:type="dxa" w:w="60"/>
              <w:right w:type="dxa" w:w="100"/>
            </w:tcMar>
            <w:vAlign w:val="center"/>
          </w:tcPr>
          <w:p>
            <w:r>
              <w:rPr>
                <w:b w:val="false"/>
                <w:bCs w:val="false"/>
                <w:sz w:val="16"/>
                <w:szCs w:val="16"/>
              </w:rPr>
              <w:t xml:space="preserve">Plugin/extension-point model designed to survive core upgrades</w:t>
            </w:r>
          </w:p>
        </w:tc>
        <w:tc>
          <w:tcPr>
            <w:tcW w:type="dxa" w:w="2500"/>
            <w:shd w:fill="FFFFFF" w:val="clear"/>
            <w:tcMar>
              <w:top w:type="dxa" w:w="60"/>
              <w:left w:type="dxa" w:w="100"/>
              <w:bottom w:type="dxa" w:w="60"/>
              <w:right w:type="dxa" w:w="100"/>
            </w:tcMar>
            <w:vAlign w:val="center"/>
          </w:tcPr>
          <w:p>
            <w:r>
              <w:rPr>
                <w:b w:val="false"/>
                <w:bCs w:val="false"/>
                <w:sz w:val="16"/>
                <w:szCs w:val="16"/>
              </w:rPr>
              <w:t xml:space="preserve">Written into the architecture; never tested against an actual upgrade</w:t>
            </w:r>
          </w:p>
        </w:tc>
      </w:tr>
      <w:tr>
        <w:tc>
          <w:tcPr>
            <w:tcW w:type="dxa" w:w="1600"/>
            <w:shd w:fill="F3F4F6" w:val="clear"/>
            <w:tcMar>
              <w:top w:type="dxa" w:w="60"/>
              <w:left w:type="dxa" w:w="100"/>
              <w:bottom w:type="dxa" w:w="60"/>
              <w:right w:type="dxa" w:w="100"/>
            </w:tcMar>
            <w:vAlign w:val="center"/>
          </w:tcPr>
          <w:p>
            <w:r>
              <w:rPr>
                <w:b w:val="false"/>
                <w:bCs w:val="false"/>
                <w:sz w:val="16"/>
                <w:szCs w:val="16"/>
              </w:rPr>
              <w:t xml:space="preserve">Cost of ownership</w:t>
            </w:r>
          </w:p>
        </w:tc>
        <w:tc>
          <w:tcPr>
            <w:tcW w:type="dxa" w:w="2400"/>
            <w:shd w:fill="F3F4F6" w:val="clear"/>
            <w:tcMar>
              <w:top w:type="dxa" w:w="60"/>
              <w:left w:type="dxa" w:w="100"/>
              <w:bottom w:type="dxa" w:w="60"/>
              <w:right w:type="dxa" w:w="100"/>
            </w:tcMar>
            <w:vAlign w:val="center"/>
          </w:tcPr>
          <w:p>
            <w:r>
              <w:rPr>
                <w:b w:val="false"/>
                <w:bCs w:val="false"/>
                <w:sz w:val="16"/>
                <w:szCs w:val="16"/>
              </w:rPr>
              <w:t xml:space="preserve">High (Tier 1: license+consultants), moderate (Tier 2), low (Tier 3/open-source)</w:t>
            </w:r>
          </w:p>
        </w:tc>
        <w:tc>
          <w:tcPr>
            <w:tcW w:type="dxa" w:w="2400"/>
            <w:shd w:fill="F3F4F6" w:val="clear"/>
            <w:tcMar>
              <w:top w:type="dxa" w:w="60"/>
              <w:left w:type="dxa" w:w="100"/>
              <w:bottom w:type="dxa" w:w="60"/>
              <w:right w:type="dxa" w:w="100"/>
            </w:tcMar>
            <w:vAlign w:val="center"/>
          </w:tcPr>
          <w:p>
            <w:r>
              <w:rPr>
                <w:b w:val="false"/>
                <w:bCs w:val="false"/>
                <w:sz w:val="16"/>
                <w:szCs w:val="16"/>
              </w:rPr>
              <w:t xml:space="preserve">Lower TCO via config-first setup and faster implementation</w:t>
            </w:r>
          </w:p>
        </w:tc>
        <w:tc>
          <w:tcPr>
            <w:tcW w:type="dxa" w:w="2500"/>
            <w:shd w:fill="F3F4F6" w:val="clear"/>
            <w:tcMar>
              <w:top w:type="dxa" w:w="60"/>
              <w:left w:type="dxa" w:w="100"/>
              <w:bottom w:type="dxa" w:w="60"/>
              <w:right w:type="dxa" w:w="100"/>
            </w:tcMar>
            <w:vAlign w:val="center"/>
          </w:tcPr>
          <w:p>
            <w:r>
              <w:rPr>
                <w:b w:val="false"/>
                <w:bCs w:val="false"/>
                <w:sz w:val="16"/>
                <w:szCs w:val="16"/>
              </w:rPr>
              <w:t xml:space="preserve">No pricing model has been operationalized - aspirational only</w:t>
            </w:r>
          </w:p>
        </w:tc>
      </w:tr>
      <w:tr>
        <w:tc>
          <w:tcPr>
            <w:tcW w:type="dxa" w:w="1600"/>
            <w:shd w:fill="FFFFFF" w:val="clear"/>
            <w:tcMar>
              <w:top w:type="dxa" w:w="60"/>
              <w:left w:type="dxa" w:w="100"/>
              <w:bottom w:type="dxa" w:w="60"/>
              <w:right w:type="dxa" w:w="100"/>
            </w:tcMar>
            <w:vAlign w:val="center"/>
          </w:tcPr>
          <w:p>
            <w:r>
              <w:rPr>
                <w:b w:val="false"/>
                <w:bCs w:val="false"/>
                <w:sz w:val="16"/>
                <w:szCs w:val="16"/>
              </w:rPr>
              <w:t xml:space="preserve">Finance depth</w:t>
            </w:r>
          </w:p>
        </w:tc>
        <w:tc>
          <w:tcPr>
            <w:tcW w:type="dxa" w:w="2400"/>
            <w:shd w:fill="FFFFFF" w:val="clear"/>
            <w:tcMar>
              <w:top w:type="dxa" w:w="60"/>
              <w:left w:type="dxa" w:w="100"/>
              <w:bottom w:type="dxa" w:w="60"/>
              <w:right w:type="dxa" w:w="100"/>
            </w:tcMar>
            <w:vAlign w:val="center"/>
          </w:tcPr>
          <w:p>
            <w:r>
              <w:rPr>
                <w:b w:val="false"/>
                <w:bCs w:val="false"/>
                <w:sz w:val="16"/>
                <w:szCs w:val="16"/>
              </w:rPr>
              <w:t xml:space="preserve">Ranges from finance-first specialists (Sage Intacct, Workday) to thin pass-through (most Tier-3 inventory tools)</w:t>
            </w:r>
          </w:p>
        </w:tc>
        <w:tc>
          <w:tcPr>
            <w:tcW w:type="dxa" w:w="2400"/>
            <w:shd w:fill="FFFFFF" w:val="clear"/>
            <w:tcMar>
              <w:top w:type="dxa" w:w="60"/>
              <w:left w:type="dxa" w:w="100"/>
              <w:bottom w:type="dxa" w:w="60"/>
              <w:right w:type="dxa" w:w="100"/>
            </w:tcMar>
            <w:vAlign w:val="center"/>
          </w:tcPr>
          <w:p>
            <w:r>
              <w:rPr>
                <w:b w:val="false"/>
                <w:bCs w:val="false"/>
                <w:sz w:val="16"/>
                <w:szCs w:val="16"/>
              </w:rPr>
              <w:t xml:space="preserve">Full GL, AR/AP, multi-currency, tax, budgeting, fixed assets</w:t>
            </w:r>
          </w:p>
        </w:tc>
        <w:tc>
          <w:tcPr>
            <w:tcW w:type="dxa" w:w="2500"/>
            <w:shd w:fill="FFFFFF" w:val="clear"/>
            <w:tcMar>
              <w:top w:type="dxa" w:w="60"/>
              <w:left w:type="dxa" w:w="100"/>
              <w:bottom w:type="dxa" w:w="60"/>
              <w:right w:type="dxa" w:w="100"/>
            </w:tcMar>
            <w:vAlign w:val="center"/>
          </w:tcPr>
          <w:p>
            <w:r>
              <w:rPr>
                <w:b w:val="false"/>
                <w:bCs w:val="false"/>
                <w:sz w:val="16"/>
                <w:szCs w:val="16"/>
              </w:rPr>
              <w:t xml:space="preserve">GL, journal entries, AR, and Cost Centers written; AP, multi-currency, tax engine, budgeting, and fixed assets not yet started (M8b-M8h)</w:t>
            </w:r>
          </w:p>
        </w:tc>
      </w:tr>
      <w:tr>
        <w:tc>
          <w:tcPr>
            <w:tcW w:type="dxa" w:w="1600"/>
            <w:shd w:fill="F3F4F6" w:val="clear"/>
            <w:tcMar>
              <w:top w:type="dxa" w:w="60"/>
              <w:left w:type="dxa" w:w="100"/>
              <w:bottom w:type="dxa" w:w="60"/>
              <w:right w:type="dxa" w:w="100"/>
            </w:tcMar>
            <w:vAlign w:val="center"/>
          </w:tcPr>
          <w:p>
            <w:r>
              <w:rPr>
                <w:b w:val="false"/>
                <w:bCs w:val="false"/>
                <w:sz w:val="16"/>
                <w:szCs w:val="16"/>
              </w:rPr>
              <w:t xml:space="preserve">Manufacturing/inventory depth</w:t>
            </w:r>
          </w:p>
        </w:tc>
        <w:tc>
          <w:tcPr>
            <w:tcW w:type="dxa" w:w="2400"/>
            <w:shd w:fill="F3F4F6" w:val="clear"/>
            <w:tcMar>
              <w:top w:type="dxa" w:w="60"/>
              <w:left w:type="dxa" w:w="100"/>
              <w:bottom w:type="dxa" w:w="60"/>
              <w:right w:type="dxa" w:w="100"/>
            </w:tcMar>
            <w:vAlign w:val="center"/>
          </w:tcPr>
          <w:p>
            <w:r>
              <w:rPr>
                <w:b w:val="false"/>
                <w:bCs w:val="false"/>
                <w:sz w:val="16"/>
                <w:szCs w:val="16"/>
              </w:rPr>
              <w:t xml:space="preserve">Very strong (S/4HANA), strong (Epicor/Rootstock/Katana), thin-to-absent (most SMB accounting tools like Tally/Busy)</w:t>
            </w:r>
          </w:p>
        </w:tc>
        <w:tc>
          <w:tcPr>
            <w:tcW w:type="dxa" w:w="2400"/>
            <w:shd w:fill="F3F4F6" w:val="clear"/>
            <w:tcMar>
              <w:top w:type="dxa" w:w="60"/>
              <w:left w:type="dxa" w:w="100"/>
              <w:bottom w:type="dxa" w:w="60"/>
              <w:right w:type="dxa" w:w="100"/>
            </w:tcMar>
            <w:vAlign w:val="center"/>
          </w:tcPr>
          <w:p>
            <w:r>
              <w:rPr>
                <w:b w:val="false"/>
                <w:bCs w:val="false"/>
                <w:sz w:val="16"/>
                <w:szCs w:val="16"/>
              </w:rPr>
              <w:t xml:space="preserve">Strong from later roadmap phases</w:t>
            </w:r>
          </w:p>
        </w:tc>
        <w:tc>
          <w:tcPr>
            <w:tcW w:type="dxa" w:w="2500"/>
            <w:shd w:fill="F3F4F6" w:val="clear"/>
            <w:tcMar>
              <w:top w:type="dxa" w:w="60"/>
              <w:left w:type="dxa" w:w="100"/>
              <w:bottom w:type="dxa" w:w="60"/>
              <w:right w:type="dxa" w:w="100"/>
            </w:tcMar>
            <w:vAlign w:val="center"/>
          </w:tcPr>
          <w:p>
            <w:r>
              <w:rPr>
                <w:b w:val="false"/>
                <w:bCs w:val="false"/>
                <w:sz w:val="16"/>
                <w:szCs w:val="16"/>
              </w:rPr>
              <w:t xml:space="preserve">Weighted-average costing, batch/lot/serial, multi-UOM, and full WMS (bins/putaway/cycle counts/pick lists) already written - this is FusionOS's most mature area today</w:t>
            </w:r>
          </w:p>
        </w:tc>
      </w:tr>
      <w:tr>
        <w:tc>
          <w:tcPr>
            <w:tcW w:type="dxa" w:w="1600"/>
            <w:shd w:fill="FFFFFF" w:val="clear"/>
            <w:tcMar>
              <w:top w:type="dxa" w:w="60"/>
              <w:left w:type="dxa" w:w="100"/>
              <w:bottom w:type="dxa" w:w="60"/>
              <w:right w:type="dxa" w:w="100"/>
            </w:tcMar>
            <w:vAlign w:val="center"/>
          </w:tcPr>
          <w:p>
            <w:r>
              <w:rPr>
                <w:b w:val="false"/>
                <w:bCs w:val="false"/>
                <w:sz w:val="16"/>
                <w:szCs w:val="16"/>
              </w:rPr>
              <w:t xml:space="preserve">Marketplace/ecosystem</w:t>
            </w:r>
          </w:p>
        </w:tc>
        <w:tc>
          <w:tcPr>
            <w:tcW w:type="dxa" w:w="2400"/>
            <w:shd w:fill="FFFFFF" w:val="clear"/>
            <w:tcMar>
              <w:top w:type="dxa" w:w="60"/>
              <w:left w:type="dxa" w:w="100"/>
              <w:bottom w:type="dxa" w:w="60"/>
              <w:right w:type="dxa" w:w="100"/>
            </w:tcMar>
            <w:vAlign w:val="center"/>
          </w:tcPr>
          <w:p>
            <w:r>
              <w:rPr>
                <w:b w:val="false"/>
                <w:bCs w:val="false"/>
                <w:sz w:val="16"/>
                <w:szCs w:val="16"/>
              </w:rPr>
              <w:t xml:space="preserve">Large and populated (SAP Store, AppSource, Odoo Apps)</w:t>
            </w:r>
          </w:p>
        </w:tc>
        <w:tc>
          <w:tcPr>
            <w:tcW w:type="dxa" w:w="2400"/>
            <w:shd w:fill="FFFFFF" w:val="clear"/>
            <w:tcMar>
              <w:top w:type="dxa" w:w="60"/>
              <w:left w:type="dxa" w:w="100"/>
              <w:bottom w:type="dxa" w:w="60"/>
              <w:right w:type="dxa" w:w="100"/>
            </w:tcMar>
            <w:vAlign w:val="center"/>
          </w:tcPr>
          <w:p>
            <w:r>
              <w:rPr>
                <w:b w:val="false"/>
                <w:bCs w:val="false"/>
                <w:sz w:val="16"/>
                <w:szCs w:val="16"/>
              </w:rPr>
              <w:t xml:space="preserve">Building from a later phase, learning from all of the above</w:t>
            </w:r>
          </w:p>
        </w:tc>
        <w:tc>
          <w:tcPr>
            <w:tcW w:type="dxa" w:w="2500"/>
            <w:shd w:fill="FFFFFF" w:val="clear"/>
            <w:tcMar>
              <w:top w:type="dxa" w:w="60"/>
              <w:left w:type="dxa" w:w="100"/>
              <w:bottom w:type="dxa" w:w="60"/>
              <w:right w:type="dxa" w:w="100"/>
            </w:tcMar>
            <w:vAlign w:val="center"/>
          </w:tcPr>
          <w:p>
            <w:r>
              <w:rPr>
                <w:b w:val="false"/>
                <w:bCs w:val="false"/>
                <w:sz w:val="16"/>
                <w:szCs w:val="16"/>
              </w:rPr>
              <w:t xml:space="preserve">Does not exist yet, not started</w:t>
            </w:r>
          </w:p>
        </w:tc>
      </w:tr>
    </w:tbl>
    <w:p>
      <w:r>
        <w:br w:type="page"/>
      </w:r>
    </w:p>
    <w:p>
      <w:pPr>
        <w:pStyle w:val="Heading1"/>
        <w:spacing w:after="200" w:before="400"/>
      </w:pPr>
      <w:r>
        <w:t xml:space="preserve">9. Defensible Differentiation vs. Marketing Over-Reach</w:t>
      </w:r>
    </w:p>
    <w:p>
      <w:pPr>
        <w:pStyle w:val="Heading2"/>
        <w:spacing w:after="150" w:before="300"/>
      </w:pPr>
      <w:r>
        <w:t xml:space="preserve">11.1 Claims FusionOS can currently defend</w:t>
      </w:r>
    </w:p>
    <w:p>
      <w:pPr>
        <w:pStyle w:val="ListParagraph"/>
        <w:numPr>
          <w:ilvl w:val="0"/>
          <w:numId w:val="1"/>
        </w:numPr>
        <w:spacing w:after="80"/>
      </w:pPr>
      <w:r>
        <w:rPr>
          <w:b/>
          <w:bCs/>
        </w:rPr>
        <w:t xml:space="preserve">Structural deployment flexibility is a real design decision. </w:t>
      </w:r>
      <w:r>
        <w:t xml:space="preserve">Unlike SAP or Dynamics, which maintain effectively separate cloud/on-prem product lines, FusionOS's single-codebase approach is architecturally present in the code today, even though it has never been deployed either way. This is a defensible claim about the design, not yet a defensible claim about the product.</w:t>
      </w:r>
    </w:p>
    <w:p>
      <w:pPr>
        <w:pStyle w:val="ListParagraph"/>
        <w:numPr>
          <w:ilvl w:val="0"/>
          <w:numId w:val="1"/>
        </w:numPr>
        <w:spacing w:after="80"/>
      </w:pPr>
      <w:r>
        <w:rPr>
          <w:b/>
          <w:bCs/>
        </w:rPr>
        <w:t xml:space="preserve">WMS/inventory depth is FusionOS's most mature area, and compares reasonably to Tier-2/3 competitors. </w:t>
      </w:r>
      <w:r>
        <w:t xml:space="preserve">Weighted-average costing, batch/lot/serial tracking, multi-UOM, and full bin/putaway/cycle-count/pick-list WMS functionality are written and match or exceed the inventory depth of most Tier-3 tools (Katana, Cin7, Fishbowl, Unleashed all lack this level of WMS granularity).</w:t>
      </w:r>
    </w:p>
    <w:p>
      <w:pPr>
        <w:pStyle w:val="ListParagraph"/>
        <w:numPr>
          <w:ilvl w:val="0"/>
          <w:numId w:val="1"/>
        </w:numPr>
        <w:spacing w:after="80"/>
      </w:pPr>
      <w:r>
        <w:rPr>
          <w:b/>
          <w:bCs/>
        </w:rPr>
        <w:t xml:space="preserve">The RBAC/audit/approval foundation is genuinely more complete than a typical MVP. </w:t>
      </w:r>
      <w:r>
        <w:t xml:space="preserve">Every query handler is permission-gated, every mutating command is auditable, and a real approval-workflow system exists - this is infrastructure several SMB-tier competitors (Deskera, Unleashed) do not clearly document having at this depth.</w:t>
      </w:r>
    </w:p>
    <w:p>
      <w:pPr>
        <w:pStyle w:val="Heading2"/>
        <w:spacing w:after="150" w:before="300"/>
      </w:pPr>
      <w:r>
        <w:t xml:space="preserve">11.2 Claims that are currently over-reach and should not be made externally yet</w:t>
      </w:r>
    </w:p>
    <w:p>
      <w:pPr>
        <w:pStyle w:val="ListParagraph"/>
        <w:numPr>
          <w:ilvl w:val="0"/>
          <w:numId w:val="1"/>
        </w:numPr>
        <w:spacing w:after="80"/>
      </w:pPr>
      <w:r>
        <w:rPr>
          <w:b/>
          <w:bCs/>
          <w:color w:val="B91C1C"/>
        </w:rPr>
        <w:t xml:space="preserve">"AI-native" or "AI-first" - not defensible today. </w:t>
      </w:r>
      <w:r>
        <w:t xml:space="preserve">FusionOS has zero shipped AI features. Multiple competitors (Rootstock, Priority Software, Katana) already ship or clearly demonstrate AI capability, however marketing-heavy some of those claims are. Claiming AI leadership with no working feature would put FusionOS in the same credibility position this report flags for Sage X3 and QAD - a marketing/reality gap.</w:t>
      </w:r>
    </w:p>
    <w:p>
      <w:pPr>
        <w:pStyle w:val="ListParagraph"/>
        <w:numPr>
          <w:ilvl w:val="0"/>
          <w:numId w:val="1"/>
        </w:numPr>
        <w:spacing w:after="80"/>
      </w:pPr>
      <w:r>
        <w:rPr>
          <w:b/>
          <w:bCs/>
          <w:color w:val="B91C1C"/>
        </w:rPr>
        <w:t xml:space="preserve">"Weeks to implement" - unverifiable, no implementation has ever occurred. </w:t>
      </w:r>
      <w:r>
        <w:t xml:space="preserve">This is a target, not a measured outcome. Every competitor's implementation-time figure in this report reflects actual customer deployments; FusionOS has none.</w:t>
      </w:r>
    </w:p>
    <w:p>
      <w:pPr>
        <w:pStyle w:val="ListParagraph"/>
        <w:numPr>
          <w:ilvl w:val="0"/>
          <w:numId w:val="1"/>
        </w:numPr>
        <w:spacing w:after="80"/>
      </w:pPr>
      <w:r>
        <w:rPr>
          <w:b/>
          <w:bCs/>
          <w:color w:val="B91C1C"/>
        </w:rPr>
        <w:t xml:space="preserve">"Lower TCO" - cannot be substantiated without pricing or a single deployed customer. </w:t>
      </w:r>
      <w:r>
        <w:t xml:space="preserve">No pricing model has been operationalized.</w:t>
      </w:r>
    </w:p>
    <w:p>
      <w:pPr>
        <w:pStyle w:val="ListParagraph"/>
        <w:numPr>
          <w:ilvl w:val="0"/>
          <w:numId w:val="1"/>
        </w:numPr>
        <w:spacing w:after="80"/>
      </w:pPr>
      <w:r>
        <w:rPr>
          <w:b/>
          <w:bCs/>
          <w:color w:val="B91C1C"/>
        </w:rPr>
        <w:t xml:space="preserve">"Enterprise-grade" or comparisons to SAP/Oracle on maturity - premature. </w:t>
      </w:r>
      <w:r>
        <w:t xml:space="preserve">The codebase has never been compiled. Comparing build-time architecture decisions to decades of production-hardened enterprise software is not yet a fair or credible comparison.</w:t>
      </w:r>
    </w:p>
    <w:p>
      <w:pPr>
        <w:spacing w:after="160" w:line="276"/>
      </w:pPr>
      <w:r>
        <w:rPr>
          <w:b/>
          <w:bCs/>
          <w:color w:val="15803D"/>
        </w:rPr>
        <w:t xml:space="preserve">Recommendation: </w:t>
      </w:r>
      <w:r>
        <w:t xml:space="preserve">any external-facing material (pitch deck, website, sales collateral) should lead with the deployment-flexibility and WMS-depth claims, which are defensible today, and should not lead with AI or TCO claims until Phase G produces a working, deployed instance.</w:t>
      </w:r>
    </w:p>
    <w:p>
      <w:r>
        <w:br w:type="page"/>
      </w:r>
    </w:p>
    <w:p>
      <w:pPr>
        <w:pStyle w:val="Heading1"/>
        <w:spacing w:after="200" w:before="400"/>
      </w:pPr>
      <w:r>
        <w:t xml:space="preserve">10. Prioritized Recommendations</w:t>
      </w:r>
    </w:p>
    <w:p>
      <w:pPr>
        <w:spacing w:after="160" w:line="276"/>
      </w:pPr>
      <w:r>
        <w:rPr>
          <w:sz w:val="21"/>
          <w:szCs w:val="21"/>
        </w:rPr>
        <w:t xml:space="preserve">Recommendations are sequenced by what actually moves FusionOS closer to being comparable to any competitor in this report, weighted toward the two gaps this research made most obvious: Finance depth and the fact that nothing has ever been compiled.</w:t>
      </w:r>
    </w:p>
    <w:p>
      <w:pPr>
        <w:pStyle w:val="Heading2"/>
        <w:spacing w:after="150" w:before="300"/>
      </w:pPr>
      <w:r>
        <w:t xml:space="preserve">12.1 Immediate (do before anything else)</w:t>
      </w:r>
    </w:p>
    <w:p>
      <w:pPr>
        <w:pStyle w:val="ListParagraph"/>
        <w:numPr>
          <w:ilvl w:val="0"/>
          <w:numId w:val="1"/>
        </w:numPr>
        <w:spacing w:after="80"/>
      </w:pPr>
      <w:r>
        <w:rPr>
          <w:b/>
          <w:bCs/>
        </w:rPr>
        <w:t xml:space="preserve">Phase G - get the codebase to actually compile, migrate, and run in a real environment. </w:t>
      </w:r>
      <w:r>
        <w:t xml:space="preserve">This is the single highest-leverage item in this report. Every capability comparison in Sections 4-10 is against products that run; FusionOS's does not. No amount of additional feature-writing changes that fact.</w:t>
      </w:r>
    </w:p>
    <w:p>
      <w:pPr>
        <w:pStyle w:val="ListParagraph"/>
        <w:numPr>
          <w:ilvl w:val="0"/>
          <w:numId w:val="1"/>
        </w:numPr>
        <w:spacing w:after="80"/>
      </w:pPr>
      <w:r>
        <w:rPr>
          <w:b/>
          <w:bCs/>
        </w:rPr>
        <w:t xml:space="preserve">Finish M8a Cost Centers (handler tests, frontend panel, tracker update) - already in progress, close it out rather than leaving it half-done.</w:t>
      </w:r>
    </w:p>
    <w:p>
      <w:pPr>
        <w:pStyle w:val="Heading2"/>
        <w:spacing w:after="150" w:before="300"/>
      </w:pPr>
      <w:r>
        <w:t xml:space="preserve">12.2 Near-term (Phase M8 - Finance depth)</w:t>
      </w:r>
    </w:p>
    <w:p>
      <w:pPr>
        <w:pStyle w:val="ListParagraph"/>
        <w:numPr>
          <w:ilvl w:val="0"/>
          <w:numId w:val="1"/>
        </w:numPr>
        <w:spacing w:after="80"/>
      </w:pPr>
      <w:r>
        <w:rPr>
          <w:sz w:val="21"/>
          <w:szCs w:val="21"/>
        </w:rPr>
        <w:t xml:space="preserve">M8b: Multi-jurisdiction tax engine - table-stakes for any market beyond a single country, and a named gap vs. every Tier-1/Tier-2 competitor.</w:t>
      </w:r>
    </w:p>
    <w:p>
      <w:pPr>
        <w:pStyle w:val="ListParagraph"/>
        <w:numPr>
          <w:ilvl w:val="0"/>
          <w:numId w:val="1"/>
        </w:numPr>
        <w:spacing w:after="80"/>
      </w:pPr>
      <w:r>
        <w:rPr>
          <w:sz w:val="21"/>
          <w:szCs w:val="21"/>
        </w:rPr>
        <w:t xml:space="preserve">M8c: Accounts payable ledger - FusionOS has AR but not AP; this is a basic double-entry-accounting gap, not a differentiation gap, and should be treated as urgent for exactly that reason.</w:t>
      </w:r>
    </w:p>
    <w:p>
      <w:pPr>
        <w:pStyle w:val="ListParagraph"/>
        <w:numPr>
          <w:ilvl w:val="0"/>
          <w:numId w:val="1"/>
        </w:numPr>
        <w:spacing w:after="80"/>
      </w:pPr>
      <w:r>
        <w:rPr>
          <w:sz w:val="21"/>
          <w:szCs w:val="21"/>
        </w:rPr>
        <w:t xml:space="preserve">M8d: Bank reconciliation - expected baseline functionality in every competitor researched with a real finance module (Sage Intacct, NetSuite, Business Central).</w:t>
      </w:r>
    </w:p>
    <w:p>
      <w:pPr>
        <w:pStyle w:val="ListParagraph"/>
        <w:numPr>
          <w:ilvl w:val="0"/>
          <w:numId w:val="1"/>
        </w:numPr>
        <w:spacing w:after="80"/>
      </w:pPr>
      <w:r>
        <w:rPr>
          <w:sz w:val="21"/>
          <w:szCs w:val="21"/>
        </w:rPr>
        <w:t xml:space="preserve">M8e: Multi-currency support - required for any multi-entity or international customer, and a stated strength of Sage Intacct specifically worth matching.</w:t>
      </w:r>
    </w:p>
    <w:p>
      <w:pPr>
        <w:pStyle w:val="ListParagraph"/>
        <w:numPr>
          <w:ilvl w:val="0"/>
          <w:numId w:val="1"/>
        </w:numPr>
        <w:spacing w:after="80"/>
      </w:pPr>
      <w:r>
        <w:rPr>
          <w:sz w:val="21"/>
          <w:szCs w:val="21"/>
        </w:rPr>
        <w:t xml:space="preserve">M8f-M8g: Budgeting and fixed-asset accounting - complete the finance module to a level comparable with Tier-2 finance-led competitors (Sage Intacct, Epicor).</w:t>
      </w:r>
    </w:p>
    <w:p>
      <w:pPr>
        <w:pStyle w:val="ListParagraph"/>
        <w:numPr>
          <w:ilvl w:val="0"/>
          <w:numId w:val="1"/>
        </w:numPr>
        <w:spacing w:after="80"/>
      </w:pPr>
      <w:r>
        <w:rPr>
          <w:sz w:val="21"/>
          <w:szCs w:val="21"/>
        </w:rPr>
        <w:t xml:space="preserve">M8h: Tests, staleness sweep, and tracker update for all of Phase M8, following the established written-not-run testing convention until Phase G makes real test execution possible.</w:t>
      </w:r>
    </w:p>
    <w:p>
      <w:pPr>
        <w:pStyle w:val="Heading2"/>
        <w:spacing w:after="150" w:before="300"/>
      </w:pPr>
      <w:r>
        <w:t xml:space="preserve">12.3 Medium-term (competitive positioning, only after Phase G + M8)</w:t>
      </w:r>
    </w:p>
    <w:p>
      <w:pPr>
        <w:pStyle w:val="ListParagraph"/>
        <w:numPr>
          <w:ilvl w:val="0"/>
          <w:numId w:val="1"/>
        </w:numPr>
        <w:spacing w:after="80"/>
      </w:pPr>
      <w:r>
        <w:rPr>
          <w:sz w:val="21"/>
          <w:szCs w:val="21"/>
        </w:rPr>
        <w:t xml:space="preserve">Pick one AI feature that maps directly to the event-backbone architecture (e.g., a real-time anomaly flag on a journal entry or stock-ledger event) and ship it end-to-end, rather than making an AI claim with nothing behind it.</w:t>
      </w:r>
    </w:p>
    <w:p>
      <w:pPr>
        <w:pStyle w:val="ListParagraph"/>
        <w:numPr>
          <w:ilvl w:val="0"/>
          <w:numId w:val="1"/>
        </w:numPr>
        <w:spacing w:after="80"/>
      </w:pPr>
      <w:r>
        <w:rPr>
          <w:sz w:val="21"/>
          <w:szCs w:val="21"/>
        </w:rPr>
        <w:t xml:space="preserve">Only after a real deployment exists, begin substantiating implementation-time and TCO claims with actual data from that deployment, rather than design targets.</w:t>
      </w:r>
    </w:p>
    <w:p>
      <w:pPr>
        <w:pStyle w:val="ListParagraph"/>
        <w:numPr>
          <w:ilvl w:val="0"/>
          <w:numId w:val="1"/>
        </w:numPr>
        <w:spacing w:after="80"/>
      </w:pPr>
      <w:r>
        <w:rPr>
          <w:sz w:val="21"/>
          <w:szCs w:val="21"/>
        </w:rPr>
        <w:t xml:space="preserve">Revisit this benchmark at the start of each subsequent roadmap phase (matching the review-cadence discipline in the original 10_COMPETITOR_BENCHMARK.md blueprint doc), since several competitors' AI claims in this report are described as recent (2025-2026) and will keep moving.</w:t>
      </w:r>
    </w:p>
    <w:p>
      <w:pPr>
        <w:pStyle w:val="Heading2"/>
        <w:spacing w:after="150" w:before="300"/>
      </w:pPr>
      <w:r>
        <w:t xml:space="preserve">12.4 If India is a target market</w:t>
      </w:r>
    </w:p>
    <w:p>
      <w:pPr>
        <w:pStyle w:val="ListParagraph"/>
        <w:numPr>
          <w:ilvl w:val="0"/>
          <w:numId w:val="1"/>
        </w:numPr>
        <w:spacing w:after="80"/>
      </w:pPr>
      <w:r>
        <w:rPr>
          <w:sz w:val="21"/>
          <w:szCs w:val="21"/>
        </w:rPr>
        <w:t xml:space="preserve">Treat Tally and Busy's SMB/GST-compliance volume dominance as the incumbent to route around (via integration or a clearly different segment), not compete with head-on.</w:t>
      </w:r>
    </w:p>
    <w:p>
      <w:pPr>
        <w:pStyle w:val="ListParagraph"/>
        <w:numPr>
          <w:ilvl w:val="0"/>
          <w:numId w:val="1"/>
        </w:numPr>
        <w:spacing w:after="80"/>
      </w:pPr>
      <w:r>
        <w:rPr>
          <w:sz w:val="21"/>
          <w:szCs w:val="21"/>
        </w:rPr>
        <w:t xml:space="preserve">Use ERPNext (Frappe) as the closest architecture-for-architecture reference point for what a credible India-built modular ERP looks like once it is actually running.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Page </w:t>
    </w:r>
    <w:r>
      <w:rPr>
        <w:color w:val="9CA3AF"/>
        <w:sz w:val="16"/>
        <w:szCs w:val="16"/>
      </w:rPr>
      <w:fldChar w:fldCharType="begin"/>
      <w:instrText xml:space="preserve">PAGE</w:instrText>
      <w:fldChar w:fldCharType="separate"/>
      <w:fldChar w:fldCharType="end"/>
    </w:r>
    <w:r>
      <w:rPr>
        <w:color w:val="9CA3AF"/>
        <w:sz w:val="16"/>
        <w:szCs w:val="16"/>
      </w:rPr>
      <w:t xml:space="preserve"> of </w:t>
    </w:r>
    <w:r>
      <w:rPr>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6"/>
        <w:szCs w:val="16"/>
      </w:rPr>
      <w:t xml:space="preserve">FusionOS Competitive Benchmarking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12" w:space="4"/>
      </w:pBdr>
      <w:spacing w:after="180" w:before="360"/>
    </w:pPr>
    <w:rPr>
      <w:rFonts w:ascii="Calibri" w:cs="Calibri" w:eastAsia="Calibri" w:hAnsi="Calibri"/>
      <w:b/>
      <w:bCs/>
      <w:color w:val="1F2937"/>
      <w:sz w:val="30"/>
      <w:szCs w:val="30"/>
    </w:rPr>
  </w:style>
  <w:style w:type="paragraph" w:styleId="Heading2">
    <w:name w:val="Heading 2"/>
    <w:basedOn w:val="Normal"/>
    <w:next w:val="Normal"/>
    <w:qFormat/>
    <w:pPr>
      <w:spacing w:after="140" w:before="280"/>
    </w:pPr>
    <w:rPr>
      <w:rFonts w:ascii="Calibri" w:cs="Calibri" w:eastAsia="Calibri" w:hAnsi="Calibri"/>
      <w:b/>
      <w:bCs/>
      <w:color w:val="2563EB"/>
      <w:sz w:val="25"/>
      <w:szCs w:val="25"/>
    </w:rPr>
  </w:style>
  <w:style w:type="paragraph" w:styleId="Heading3">
    <w:name w:val="Heading 3"/>
    <w:basedOn w:val="Normal"/>
    <w:next w:val="Normal"/>
    <w:qFormat/>
    <w:pPr>
      <w:spacing w:after="100" w:before="200"/>
    </w:pPr>
    <w:rPr>
      <w:rFonts w:ascii="Calibri" w:cs="Calibri" w:eastAsia="Calibri" w:hAnsi="Calibri"/>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2026-07-17T04:30:16.208Z</dcterms:created>
  <dcterms:modified xsi:type="dcterms:W3CDTF">2026-07-17T04:30:16.212Z</dcterms:modified>
</cp:coreProperties>
</file>

<file path=docProps/custom.xml><?xml version="1.0" encoding="utf-8"?>
<Properties xmlns="http://schemas.openxmlformats.org/officeDocument/2006/custom-properties" xmlns:vt="http://schemas.openxmlformats.org/officeDocument/2006/docPropsVTypes"/>
</file>