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Manifold-Structured Agentic Systems</w:t>
        <w:br/>
        <w:t>Comprehensive White Paper</w:t>
      </w:r>
    </w:p>
    <w:p>
      <w:pPr>
        <w:pStyle w:val="Heading1"/>
      </w:pPr>
      <w:r>
        <w:t>Abstract</w:t>
      </w:r>
    </w:p>
    <w:p>
      <w:r>
        <w:t>This white paper presents a comprehensive framework for building, governing, and scaling agentic systems using a manifold-based architecture composed of locally valid charts. It consolidates conceptual foundations, architectural models, practical mechanisms, organizational adoption strategies, governance standards, partner integration models, risks, and future directions.</w:t>
      </w:r>
    </w:p>
    <w:p>
      <w:pPr>
        <w:pStyle w:val="Heading1"/>
      </w:pPr>
      <w:r>
        <w:t>Executive Summary</w:t>
      </w:r>
    </w:p>
    <w:p>
      <w:r>
        <w:t>Agentic systems fail at scale not due to lack of intelligence, but due to lack of structure. By modeling capabilities as charts with explicit validity, invariants, boundaries, and transitions, organizations can move from advisory AI behavior to governed intelligence.</w:t>
      </w:r>
    </w:p>
    <w:p>
      <w:pPr>
        <w:pStyle w:val="Heading1"/>
      </w:pPr>
      <w:r>
        <w:t>Motivation and Problem Statement</w:t>
      </w:r>
    </w:p>
    <w:p>
      <w:r>
        <w:t>Skill-based systems rely on memory, interpretation, and vigilance. As systems scale, this leads to brittle composition, silent failures, and escalating operational risk. A structural solution is required.</w:t>
      </w:r>
    </w:p>
    <w:p>
      <w:pPr>
        <w:pStyle w:val="Heading1"/>
      </w:pPr>
      <w:r>
        <w:t>Foundational Origins</w:t>
      </w:r>
    </w:p>
    <w:p>
      <w:r>
        <w:t>This framework draws from differential geometry, programming language theory, control theory, distributed systems, and software architecture. Each discipline independently solved the problem of local correctness with global coherence.</w:t>
      </w:r>
    </w:p>
    <w:p>
      <w:pPr>
        <w:pStyle w:val="Heading1"/>
      </w:pPr>
      <w:r>
        <w:t>The Manifold Model</w:t>
      </w:r>
    </w:p>
    <w:p>
      <w:r>
        <w:t>An agentic system is modeled as a manifold composed of charts. Charts are locally valid governing capabilities. An atlas is the collection of charts, and a router enforces validity, invariants, and transitions.</w:t>
      </w:r>
    </w:p>
    <w:p>
      <w:pPr>
        <w:pStyle w:val="Heading1"/>
      </w:pPr>
      <w:r>
        <w:t>From Skills to Charts</w:t>
      </w:r>
    </w:p>
    <w:p>
      <w:r>
        <w:t>Skills are advisory. Charts are binding. Skills can be automatically upgraded into charts by extracting validity, guarantees, and handoff logic into structured specifications.</w:t>
      </w:r>
    </w:p>
    <w:p>
      <w:pPr>
        <w:pStyle w:val="Heading1"/>
      </w:pPr>
      <w:r>
        <w:t>Safe Composition Through Overlaps</w:t>
      </w:r>
    </w:p>
    <w:p>
      <w:r>
        <w:t>Charts compose only in explicit overlap regions governed by shared representations and invariants. This prevents unsafe integration and eliminates emergent bugs.</w:t>
      </w:r>
    </w:p>
    <w:p>
      <w:pPr>
        <w:pStyle w:val="Heading1"/>
      </w:pPr>
      <w:r>
        <w:t>Metrics, Alignment, and Curvature</w:t>
      </w:r>
    </w:p>
    <w:p>
      <w:r>
        <w:t>Metrics define optimization and alignment explicitly. High-curvature regions correspond to uncertainty and trigger conservative routing, verification, or escalation.</w:t>
      </w:r>
    </w:p>
    <w:p>
      <w:pPr>
        <w:pStyle w:val="Heading1"/>
      </w:pPr>
      <w:r>
        <w:t>Outputs: Advisory vs Governed</w:t>
      </w:r>
    </w:p>
    <w:p>
      <w:r>
        <w:t>Governed outputs are certified artifacts emitted only if invariants pass. Advisory outputs rely on trust. This shift dramatically improves reliability, auditability, and trust.</w:t>
      </w:r>
    </w:p>
    <w:p>
      <w:pPr>
        <w:pStyle w:val="Heading1"/>
      </w:pPr>
      <w:r>
        <w:t>Organizational Adoption</w:t>
      </w:r>
    </w:p>
    <w:p>
      <w:r>
        <w:t>Adoption is incremental and role-aligned. Knowledge workers encode expertise structurally using applies-when, must-guarantee, and handoff conditions.</w:t>
      </w:r>
    </w:p>
    <w:p>
      <w:pPr>
        <w:pStyle w:val="Heading1"/>
      </w:pPr>
      <w:r>
        <w:t>Standards and Governance</w:t>
      </w:r>
    </w:p>
    <w:p>
      <w:r>
        <w:t>Charts are treated as standards and APIs. RFCs govern evolution. Metrics and overlaps are reviewed as policy decisions.</w:t>
      </w:r>
    </w:p>
    <w:p>
      <w:pPr>
        <w:pStyle w:val="Heading1"/>
      </w:pPr>
      <w:r>
        <w:t>Partner Integration</w:t>
      </w:r>
    </w:p>
    <w:p>
      <w:r>
        <w:t>Partners integrate via contracts rather than trust. Overlap protocols define interfaces, accelerating onboarding while reducing risk.</w:t>
      </w:r>
    </w:p>
    <w:p>
      <w:pPr>
        <w:pStyle w:val="Heading1"/>
      </w:pPr>
      <w:r>
        <w:t>Risks and Mitigations</w:t>
      </w:r>
    </w:p>
    <w:p>
      <w:r>
        <w:t>Risks include over-specification, chart sprawl, and metric drift. These are mitigated through versioning, ownership, conservative validity, and telemetry.</w:t>
      </w:r>
    </w:p>
    <w:p>
      <w:pPr>
        <w:pStyle w:val="Heading1"/>
      </w:pPr>
      <w:r>
        <w:t>Future Directions and Conclusion</w:t>
      </w:r>
    </w:p>
    <w:p>
      <w:r>
        <w:t>This framework generalizes beyond AI. Learning augments routing, not governance. Over time, the system becomes invisible infrastructure enabling safe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