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Serviços — Privacidade e Termos</w:t>
      </w:r>
    </w:p>
    <w:p>
      <w:r>
        <w:t>Cópia extraída das páginas publicadas do Atentoform (Hub de Recrutamento &amp; Seleção) para referência/documentação.</w:t>
      </w:r>
    </w:p>
    <w:p>
      <w:r>
        <w:t>Gerada automaticamente de Docs/*.html em 08/10/2026 — não editar este arquivo à mão; execute python scripts/gerar-docx-privacidade.py.</w:t>
      </w:r>
    </w:p>
    <w:p>
      <w:pPr>
        <w:pStyle w:val="Heading1"/>
      </w:pPr>
      <w:r>
        <w:t>Privacidade e segurança (visão geral)</w:t>
      </w:r>
    </w:p>
    <w:p>
      <w:pPr>
        <w:pStyle w:val="ListBullet"/>
      </w:pPr>
      <w:r>
        <w:t xml:space="preserve"> Aviso de Privacidade — Hub Formulários RH</w:t>
      </w:r>
      <w:r>
        <w:t xml:space="preserve"> Documento corporativo: responsável pelo tratamento, finalidades, bases legais, rascunho temporário com expiração máxima de 24 horas (sem retenção indefinida) e direitos do titular (PO-026, PO-027 e PO-029).</w:t>
      </w:r>
    </w:p>
    <w:p>
      <w:pPr>
        <w:pStyle w:val="ListBullet"/>
      </w:pPr>
      <w:r>
        <w:t xml:space="preserve"> Política de Privacidade</w:t>
      </w:r>
      <w:r>
        <w:t xml:space="preserve"> Explica como seus dados são usados ao preencher os formulários e quais são seus direitos.</w:t>
      </w:r>
    </w:p>
    <w:p>
      <w:pPr>
        <w:pStyle w:val="ListBullet"/>
      </w:pPr>
      <w:r>
        <w:t xml:space="preserve"> Termos de Uso</w:t>
      </w:r>
      <w:r>
        <w:t xml:space="preserve"> Condições de uso da ferramenta e o que esperamos de quem gera os PDFs.</w:t>
      </w:r>
    </w:p>
    <w:p>
      <w:pPr>
        <w:pStyle w:val="ListBullet"/>
      </w:pPr>
      <w:r>
        <w:t xml:space="preserve"> Fluxo de dados</w:t>
      </w:r>
      <w:r>
        <w:t xml:space="preserve"> Resumo do que acontece com as informações no seu navegador até o arquivo PDF.</w:t>
      </w:r>
    </w:p>
    <w:p>
      <w:pPr>
        <w:pStyle w:val="ListBullet"/>
      </w:pPr>
      <w:r>
        <w:t xml:space="preserve"> Impacto na privacidade (RIPD)</w:t>
      </w:r>
      <w:r>
        <w:t xml:space="preserve"> Como avaliamos os riscos para seus dados neste tipo de ferramenta.</w:t>
      </w:r>
    </w:p>
    <w:p>
      <w:pPr>
        <w:pStyle w:val="ListBullet"/>
      </w:pPr>
      <w:r>
        <w:t xml:space="preserve"> Segurança da plataforma</w:t>
      </w:r>
      <w:r>
        <w:t xml:space="preserve"> Medidas que ajudam a manter o serviço dos formulários fiável e protegido.</w:t>
      </w:r>
    </w:p>
    <w:p>
      <w:pPr>
        <w:pStyle w:val="ListBullet"/>
      </w:pPr>
      <w:r>
        <w:t xml:space="preserve"> Resposta a incidentes</w:t>
      </w:r>
      <w:r>
        <w:t xml:space="preserve"> O que fazemos se algo correr mal com a segurança ou a disponibilidade do serviço.</w:t>
      </w:r>
    </w:p>
    <w:p>
      <w:pPr>
        <w:pStyle w:val="ListBullet"/>
      </w:pPr>
      <w:r>
        <w:t xml:space="preserve"> Bases legais (LGPD)</w:t>
      </w:r>
      <w:r>
        <w:t xml:space="preserve"> Enquadramento legal que permite tratar os dados neste contexto.</w:t>
      </w:r>
    </w:p>
    <w:p>
      <w:pPr>
        <w:pStyle w:val="ListBullet"/>
      </w:pPr>
      <w:r>
        <w:t xml:space="preserve"> Governança</w:t>
      </w:r>
      <w:r>
        <w:t xml:space="preserve"> Como a empresa organiza e atualiza estas políticas ao longo do tempo.</w:t>
      </w:r>
    </w:p>
    <w:p>
      <w:pPr>
        <w:pStyle w:val="Heading1"/>
      </w:pPr>
      <w:r>
        <w:t>Aviso de Privacidade — Hub Formulários RH</w:t>
      </w:r>
    </w:p>
    <w:p>
      <w:pPr>
        <w:pStyle w:val="Heading2"/>
      </w:pPr>
      <w:r>
        <w:t>1. Sobre este Aviso</w:t>
      </w:r>
    </w:p>
    <w:p>
      <w:r>
        <w:t>A</w:t>
      </w:r>
      <w:r>
        <w:rPr>
          <w:b/>
        </w:rPr>
        <w:t xml:space="preserve"> PO-026_04</w:t>
      </w:r>
      <w:r>
        <w:t xml:space="preserve"> (Política de Tratamento de Dados Pessoais de Funcionários) estabelece as práticas da Atento relacionadas ao tratamento de dados pessoais de funcionários, incluindo informações fornecidas por meio de formulários de admissão e benefícios. A</w:t>
      </w:r>
      <w:r>
        <w:rPr>
          <w:b/>
        </w:rPr>
        <w:t xml:space="preserve"> PO-027_04</w:t>
      </w:r>
      <w:r>
        <w:t xml:space="preserve"> (Política de Tratamento de Dados de Candidatos), por sua vez, contempla o tratamento realizado durante processos seletivos e etapas pré-contratuais e de admissão. Neste contexto, este Aviso de Privacidade do Hub Formulários RH tem como objetivo apresentar informações específicas sobre o tratamento de dados pessoais realizado durante a utilização da ferramenta, complementando as políticas corporativas de privacidade e proteção de dados pessoais da Atento aplicáveis ao titular.</w:t>
      </w:r>
    </w:p>
    <w:p>
      <w:r>
        <w:t>O Hub Formulários RH é uma ferramenta disponibilizada para apoiar e agilizar o preenchimento eletrônico de formulários relacionados ao processo de admissão e benefícios, substituindo etapas anteriormente realizadas mediante preenchimento manual, impressão e digitalização dos documentos.</w:t>
      </w:r>
    </w:p>
    <w:p>
      <w:pPr>
        <w:pStyle w:val="Heading2"/>
      </w:pPr>
      <w:r>
        <w:t>2. Quem é responsável pelo tratamento dos dados</w:t>
      </w:r>
    </w:p>
    <w:p>
      <w:r>
        <w:t>A</w:t>
      </w:r>
      <w:r>
        <w:rPr>
          <w:b/>
        </w:rPr>
        <w:t xml:space="preserve"> Atento Brasil S.A.</w:t>
      </w:r>
      <w:r>
        <w:t xml:space="preserve"> é responsável pelas atividades de tratamento de dados pessoais realizadas no âmbito dos processos de admissão, vínculo de trabalho e benefícios abrangidos por este Aviso, conforme estabelecido nas políticas corporativas aplicáveis.</w:t>
      </w:r>
    </w:p>
    <w:p>
      <w:r>
        <w:t>O Hub atua como</w:t>
      </w:r>
      <w:r>
        <w:rPr>
          <w:b/>
        </w:rPr>
        <w:t xml:space="preserve"> ferramenta de apoio</w:t>
      </w:r>
      <w:r>
        <w:t xml:space="preserve"> à execução dessas atividades, não estabelecendo, por si só, novas finalidades para utilização dos dados pessoais.</w:t>
      </w:r>
    </w:p>
    <w:p>
      <w:pPr>
        <w:pStyle w:val="Heading2"/>
      </w:pPr>
      <w:r>
        <w:t>3. Quais dados pessoais poderão ser tratados</w:t>
      </w:r>
    </w:p>
    <w:p>
      <w:r>
        <w:t>Dependendo do formulário e da etapa aplicável, poderão ser tratados no Hub:</w:t>
      </w:r>
    </w:p>
    <w:p>
      <w:pPr>
        <w:pStyle w:val="ListBullet"/>
      </w:pPr>
      <w:r>
        <w:t>dados de identificação, como nome, CPF, RG e data de nascimento;</w:t>
      </w:r>
    </w:p>
    <w:p>
      <w:pPr>
        <w:pStyle w:val="ListBullet"/>
      </w:pPr>
      <w:r>
        <w:t>dados de contato;</w:t>
      </w:r>
    </w:p>
    <w:p>
      <w:pPr>
        <w:pStyle w:val="ListBullet"/>
      </w:pPr>
      <w:r>
        <w:t>informações de endereço;</w:t>
      </w:r>
    </w:p>
    <w:p>
      <w:pPr>
        <w:pStyle w:val="ListBullet"/>
      </w:pPr>
      <w:r>
        <w:t>dados profissionais e relacionados à admissão;</w:t>
      </w:r>
    </w:p>
    <w:p>
      <w:pPr>
        <w:pStyle w:val="ListBullet"/>
      </w:pPr>
      <w:r>
        <w:t>dados bancários;</w:t>
      </w:r>
    </w:p>
    <w:p>
      <w:pPr>
        <w:pStyle w:val="ListBullet"/>
      </w:pPr>
      <w:r>
        <w:t>informações relacionadas a benefícios;</w:t>
      </w:r>
    </w:p>
    <w:p>
      <w:pPr>
        <w:pStyle w:val="ListBullet"/>
      </w:pPr>
      <w:r>
        <w:t>informações de familiares e dependentes;</w:t>
      </w:r>
    </w:p>
    <w:p>
      <w:pPr>
        <w:pStyle w:val="ListBullet"/>
      </w:pPr>
      <w:r>
        <w:t>dados necessários à assistência médica e outros benefícios; e</w:t>
      </w:r>
    </w:p>
    <w:p>
      <w:pPr>
        <w:pStyle w:val="ListBullet"/>
      </w:pPr>
      <w:r>
        <w:t>quando aplicável, dados pessoais sensíveis, incluindo informações relacionadas à saúde.</w:t>
      </w:r>
    </w:p>
    <w:p>
      <w:r>
        <w:t>A PO-026_04 já contempla, entre outras categorias, dados cadastrais, bancários, dados de saúde e assistência médica, bem como informações de cônjuges e dependentes necessárias à administração do vínculo de trabalho e benefícios.</w:t>
      </w:r>
    </w:p>
    <w:p>
      <w:r>
        <w:t>Os dados tratados variarão de acordo com o formulário utilizado e deverão se limitar àqueles necessários para a respectiva finalidade.</w:t>
      </w:r>
    </w:p>
    <w:p>
      <w:pPr>
        <w:pStyle w:val="Heading2"/>
      </w:pPr>
      <w:r>
        <w:t>4. Para quais finalidades os dados serão utilizados</w:t>
      </w:r>
    </w:p>
    <w:p>
      <w:r>
        <w:t>Os dados pessoais tratados por meio do Hub poderão ser utilizados, conforme aplicável, para:</w:t>
      </w:r>
    </w:p>
    <w:p>
      <w:pPr>
        <w:pStyle w:val="ListBullet"/>
      </w:pPr>
      <w:r>
        <w:t>viabilizar etapas do processo de admissão;</w:t>
      </w:r>
    </w:p>
    <w:p>
      <w:pPr>
        <w:pStyle w:val="ListBullet"/>
      </w:pPr>
      <w:r>
        <w:t>realizar o cadastramento necessário à formalização do vínculo de trabalho;</w:t>
      </w:r>
    </w:p>
    <w:p>
      <w:pPr>
        <w:pStyle w:val="ListBullet"/>
      </w:pPr>
      <w:r>
        <w:t>cumprir obrigações relacionadas à administração do vínculo empregatício;</w:t>
      </w:r>
    </w:p>
    <w:p>
      <w:pPr>
        <w:pStyle w:val="ListBullet"/>
      </w:pPr>
      <w:r>
        <w:t>viabilizar pagamentos e informações bancárias necessárias;</w:t>
      </w:r>
    </w:p>
    <w:p>
      <w:pPr>
        <w:pStyle w:val="ListBullet"/>
      </w:pPr>
      <w:r>
        <w:t>disponibilizar benefícios;</w:t>
      </w:r>
    </w:p>
    <w:p>
      <w:pPr>
        <w:pStyle w:val="ListBullet"/>
      </w:pPr>
      <w:r>
        <w:t>realizar a inclusão de dependentes em benefícios;</w:t>
      </w:r>
    </w:p>
    <w:p>
      <w:pPr>
        <w:pStyle w:val="ListBullet"/>
      </w:pPr>
      <w:r>
        <w:t>viabilizar procedimentos relacionados à assistência médica; e</w:t>
      </w:r>
    </w:p>
    <w:p>
      <w:pPr>
        <w:pStyle w:val="ListBullet"/>
      </w:pPr>
      <w:r>
        <w:t>gerar os documentos necessários à execução dessas atividades.</w:t>
      </w:r>
    </w:p>
    <w:p>
      <w:r>
        <w:t>Essas finalidades estão inseridas nas atividades de tratamento já previstas nas políticas corporativas aplicáveis a candidatos e funcionários da Atento. A política de candidatos contempla expressamente etapas pré-contratuais e eventual processo de admissão dos candidatos aprovados, enquanto a política de funcionários contempla administração do vínculo, obrigações trabalhistas, pagamentos, benefícios e assistência médica.</w:t>
      </w:r>
    </w:p>
    <w:p>
      <w:r>
        <w:t>A geração do documento em formato PDF constitui uma</w:t>
      </w:r>
      <w:r>
        <w:rPr>
          <w:b/>
        </w:rPr>
        <w:t xml:space="preserve"> funcionalidade do Hub</w:t>
      </w:r>
      <w:r>
        <w:t xml:space="preserve"> para viabilização dessas finalidades, não sendo a finalidade principal do tratamento dos dados pessoais.</w:t>
      </w:r>
    </w:p>
    <w:p>
      <w:pPr>
        <w:pStyle w:val="Heading2"/>
      </w:pPr>
      <w:r>
        <w:t>5. Bases legais aplicáveis</w:t>
      </w:r>
    </w:p>
    <w:p>
      <w:r>
        <w:t>O tratamento dos dados pessoais realizado no contexto do Hub observará as bases legais aplicáveis às respectivas atividades de admissão, relação de trabalho, cumprimento de obrigações legais ou regulatórias, execução das obrigações relacionadas ao vínculo e disponibilização de benefícios.</w:t>
      </w:r>
    </w:p>
    <w:p>
      <w:r>
        <w:t>Quando houver tratamento de dados pessoais sensíveis, serão observadas as hipóteses legais específicas aplicáveis a essas categorias de dados.</w:t>
      </w:r>
    </w:p>
    <w:p>
      <w:r>
        <w:t>As bases legais serão aquelas correspondentes às atividades de tratamento já estabelecidas nas políticas corporativas e nos registros de tratamento da Atento, não havendo alteração da fundamentação jurídica do tratamento exclusivamente em razão da utilização do Hub.</w:t>
      </w:r>
    </w:p>
    <w:p>
      <w:r>
        <w:t>A PO-027_04 prevê, conforme cada situação, bases como procedimentos preliminares relacionados ao contrato de trabalho, cumprimento de obrigação legal ou regulatória e exercício regular de direitos, além das hipóteses próprias para dados pessoais sensíveis. Detalhamento na página</w:t>
      </w:r>
      <w:r>
        <w:t xml:space="preserve"> Base legal (LGPD)</w:t>
      </w:r>
      <w:r>
        <w:t>.</w:t>
      </w:r>
    </w:p>
    <w:p>
      <w:pPr>
        <w:pStyle w:val="Heading2"/>
      </w:pPr>
      <w:r>
        <w:t>6. Como o Hub processa os dados</w:t>
      </w:r>
    </w:p>
    <w:p>
      <w:r>
        <w:t>O processamento dos formulários e a geração dos documentos em PDF ocorrem</w:t>
      </w:r>
      <w:r>
        <w:rPr>
          <w:b/>
        </w:rPr>
        <w:t xml:space="preserve"> predominantemente no navegador</w:t>
      </w:r>
      <w:r>
        <w:t xml:space="preserve"> utilizado pelo usuário.</w:t>
      </w:r>
    </w:p>
    <w:p>
      <w:r>
        <w:t>A solução não utiliza, no fluxo público, banco de dados centralizado destinado ao armazenamento das informações preenchidas nos formulários para posterior consulta como cadastro próprio do Hub.</w:t>
      </w:r>
    </w:p>
    <w:p>
      <w:r>
        <w:t>Para permitir funcionalidades como continuidade, revisão ou correção do preenchimento, algumas informações poderão ser mantidas temporariamente no</w:t>
      </w:r>
      <w:r>
        <w:rPr>
          <w:b/>
        </w:rPr>
        <w:t xml:space="preserve"> armazenamento local do navegador</w:t>
      </w:r>
      <w:r>
        <w:t>, conforme a funcionalidade de rascunho disponibilizada pela solução.</w:t>
      </w:r>
    </w:p>
    <w:p>
      <w:r>
        <w:t>O armazenamento local utilizado para esse fim</w:t>
      </w:r>
      <w:r>
        <w:rPr>
          <w:b/>
        </w:rPr>
        <w:t xml:space="preserve"> não substitui</w:t>
      </w:r>
      <w:r>
        <w:t xml:space="preserve"> os sistemas corporativos oficiais da Atento nem constitui o registro funcional oficial do colaborador.</w:t>
      </w:r>
    </w:p>
    <w:p>
      <w:pPr>
        <w:pStyle w:val="Heading2"/>
      </w:pPr>
      <w:r>
        <w:t>7. Armazenamento temporário e descarte</w:t>
      </w:r>
    </w:p>
    <w:p>
      <w:r>
        <w:t>O Hub poderá utilizar armazenamento local do navegador para permitir que o usuário retome, revise ou corrija o preenchimento dos formulários.</w:t>
      </w:r>
    </w:p>
    <w:p>
      <w:r>
        <w:t>Esses dados deverão permanecer armazenados somente enquanto necessários à finalidade do rascunho e à conclusão do respectivo fluxo, podendo ser eliminados pelo próprio usuário por meio da funcionalidade</w:t>
      </w:r>
      <w:r>
        <w:rPr>
          <w:b/>
        </w:rPr>
        <w:t xml:space="preserve"> “Descartar rascunho”</w:t>
      </w:r>
      <w:r>
        <w:t>.</w:t>
      </w:r>
    </w:p>
    <w:p>
      <w:r>
        <w:t>A solução deverá também observar o mecanismo de expiração ou descarte definido para as informações temporárias, evitando sua conservação além do período necessário para a finalidade do armazenamento local.</w:t>
      </w:r>
    </w:p>
    <w:p>
      <w:r>
        <w:t>Na versão implantada do Hub, esse mecanismo corresponde ao</w:t>
      </w:r>
      <w:r>
        <w:rPr>
          <w:b/>
        </w:rPr>
        <w:t xml:space="preserve"> descarte automático do rascunho 24 horas após o último salvamento</w:t>
      </w:r>
      <w:r>
        <w:t>, sem opção de retenção indefinida e com modal de proteção de dados que oferece apenas manter por 24 horas ou apagar agora; a operacionalização está descrita no documento</w:t>
      </w:r>
      <w:r>
        <w:t xml:space="preserve"> Fluxo de dados</w:t>
      </w:r>
      <w:r>
        <w:t>.</w:t>
      </w:r>
    </w:p>
    <w:p>
      <w:r>
        <w:t>A exclusão das informações temporárias do Hub não se aplica aos documentos e informações que já tenham sido incorporados aos sistemas oficiais da Atento. Nesses ambientes, a retenção observará as finalidades do tratamento, obrigações legais, regulatórias e contratuais e os respectivos prazos de retenção aplicáveis. A política de funcionários estabelece que os dados devem ser mantidos pelo período necessário às suas finalidades, observadas, entre outras, obrigações trabalhistas, previdenciárias, tributárias e relacionadas à saúde e segurança ocupacional.</w:t>
      </w:r>
    </w:p>
    <w:p>
      <w:pPr>
        <w:pStyle w:val="Heading2"/>
      </w:pPr>
      <w:r>
        <w:t>8. Serviços e integrações externas</w:t>
      </w:r>
    </w:p>
    <w:p>
      <w:r>
        <w:t>A geração dos documentos ocorre predominantemente no navegador, sem encaminhamento do conteúdo integral dos formulários para terceiros com a finalidade de armazenamento centralizado ou geração remota do documento.</w:t>
      </w:r>
    </w:p>
    <w:p>
      <w:r>
        <w:t>Determinadas funcionalidades técnicas do Hub poderão utilizar</w:t>
      </w:r>
      <w:r>
        <w:rPr>
          <w:b/>
        </w:rPr>
        <w:t xml:space="preserve"> serviços externos</w:t>
      </w:r>
      <w:r>
        <w:t xml:space="preserve"> necessários ao funcionamento da solução, como recursos relacionados à consulta ou preenchimento de determinadas informações e outros componentes técnicos — na versão implantada, incluem-se consultas de CEP e de lista de municípios e o carregamento da biblioteca de geração de PDF.</w:t>
      </w:r>
    </w:p>
    <w:p>
      <w:r>
        <w:t>Nessas situações, deverão ser tratados ou transmitidos somente os dados ou informações</w:t>
      </w:r>
      <w:r>
        <w:rPr>
          <w:b/>
        </w:rPr>
        <w:t xml:space="preserve"> estritamente necessários</w:t>
      </w:r>
      <w:r>
        <w:t xml:space="preserve"> à execução da funcionalidade correspondente, observando os princípios da necessidade, segurança e transparência.</w:t>
      </w:r>
    </w:p>
    <w:p>
      <w:r>
        <w:t>O eventual tratamento posterior das informações por fornecedores, prestadores de serviços, instituições financeiras, operadoras de benefícios ou demais destinatários necessários ao processo seguirá as regras corporativas de compartilhamento estabelecidas nas políticas da Atento. A política de funcionários prevê, por exemplo, compartilhamento necessário com prestadores relacionados ao vínculo e à oferta de benefícios, incluindo bancos, operadoras de assistência médica e fornecedores tecnológicos, dentro dos limites da legislação e das finalidades informadas.</w:t>
      </w:r>
    </w:p>
    <w:p>
      <w:pPr>
        <w:pStyle w:val="Heading2"/>
      </w:pPr>
      <w:r>
        <w:t>9. Segurança e proteção dos dados</w:t>
      </w:r>
    </w:p>
    <w:p>
      <w:r>
        <w:t>A Atento adota medidas técnicas, administrativas e organizacionais destinadas a proteger os dados pessoais contra acessos não autorizados e situações acidentais ou ilícitas de destruição, perda, alteração, divulgação ou tratamento inadequado.</w:t>
      </w:r>
    </w:p>
    <w:p>
      <w:r>
        <w:t>O acesso aos dados pessoais deve ser limitado aos profissionais e áreas que possuam necessidade legítima de acesso para execução de suas atividades, observados os princípios do</w:t>
      </w:r>
      <w:r>
        <w:rPr>
          <w:b/>
        </w:rPr>
        <w:t xml:space="preserve"> menor privilégio</w:t>
      </w:r>
      <w:r>
        <w:t>, necessidade e segregação de funções. Dados pessoais sensíveis estão sujeitos a controles adicionais compatíveis com sua natureza.</w:t>
      </w:r>
    </w:p>
    <w:p>
      <w:r>
        <w:t>A arquitetura do Hub busca reduzir a transmissão e a persistência desnecessária de informações, priorizando o processamento local dos formulários e documentos.</w:t>
      </w:r>
    </w:p>
    <w:p>
      <w:r>
        <w:t>A</w:t>
      </w:r>
      <w:r>
        <w:rPr>
          <w:b/>
        </w:rPr>
        <w:t xml:space="preserve"> PO-029_05</w:t>
      </w:r>
      <w:r>
        <w:t xml:space="preserve"> (Política Interna de Privacidade e Proteção de Dados Pessoais) estabelece ainda que sistemas, soluções e aplicações envolvendo dados pessoais devem considerar medidas de proteção desde sua concepção, em consonância com os princípios de</w:t>
      </w:r>
      <w:r>
        <w:rPr>
          <w:b/>
        </w:rPr>
        <w:t xml:space="preserve"> Privacy by Design</w:t>
      </w:r>
      <w:r>
        <w:t>.</w:t>
      </w:r>
    </w:p>
    <w:p>
      <w:pPr>
        <w:pStyle w:val="Heading2"/>
      </w:pPr>
      <w:r>
        <w:t>10. Responsabilidades durante a utilização</w:t>
      </w:r>
    </w:p>
    <w:p>
      <w:r>
        <w:t>O usuário deverá fornecer informações corretas e atualizadas e utilizar adequadamente os recursos disponibilizados pelo Hub.</w:t>
      </w:r>
    </w:p>
    <w:p>
      <w:r>
        <w:t>Em</w:t>
      </w:r>
      <w:r>
        <w:rPr>
          <w:b/>
        </w:rPr>
        <w:t xml:space="preserve"> dispositivos compartilhados</w:t>
      </w:r>
      <w:r>
        <w:t>, recomenda-se especial atenção à proteção das informações preenchidas, utilização das funcionalidades de</w:t>
      </w:r>
      <w:r>
        <w:rPr>
          <w:b/>
        </w:rPr>
        <w:t xml:space="preserve"> encerramento de acesso</w:t>
      </w:r>
      <w:r>
        <w:t xml:space="preserve"> e</w:t>
      </w:r>
      <w:r>
        <w:rPr>
          <w:b/>
        </w:rPr>
        <w:t xml:space="preserve"> descarte de rascunhos</w:t>
      </w:r>
      <w:r>
        <w:t xml:space="preserve"> quando o armazenamento local não for mais necessário.</w:t>
      </w:r>
    </w:p>
    <w:p>
      <w:r>
        <w:t>Essas obrigações não afastam as responsabilidades da Atento pelo tratamento de dados pessoais realizado sob sua responsabilidade, conforme a LGPD e as políticas corporativas aplicáveis.</w:t>
      </w:r>
    </w:p>
    <w:p>
      <w:pPr>
        <w:pStyle w:val="Heading2"/>
      </w:pPr>
      <w:r>
        <w:t>11. Direitos dos titulares</w:t>
      </w:r>
    </w:p>
    <w:p>
      <w:r>
        <w:t>A Atento assegura aos titulares os direitos previstos na Lei Geral de Proteção de Dados Pessoais, observados os requisitos e limitações previstos na legislação, incluindo, conforme aplicável:</w:t>
      </w:r>
    </w:p>
    <w:p>
      <w:pPr>
        <w:pStyle w:val="ListBullet"/>
      </w:pPr>
      <w:r>
        <w:t>confirmação da existência de tratamento;</w:t>
      </w:r>
    </w:p>
    <w:p>
      <w:pPr>
        <w:pStyle w:val="ListBullet"/>
      </w:pPr>
      <w:r>
        <w:t>acesso aos dados pessoais;</w:t>
      </w:r>
    </w:p>
    <w:p>
      <w:pPr>
        <w:pStyle w:val="ListBullet"/>
      </w:pPr>
      <w:r>
        <w:t>correção de dados incompletos, inexatos ou desatualizados;</w:t>
      </w:r>
    </w:p>
    <w:p>
      <w:pPr>
        <w:pStyle w:val="ListBullet"/>
      </w:pPr>
      <w:r>
        <w:t>anonimização, bloqueio ou eliminação de dados desnecessários, excessivos ou tratados em desconformidade;</w:t>
      </w:r>
    </w:p>
    <w:p>
      <w:pPr>
        <w:pStyle w:val="ListBullet"/>
      </w:pPr>
      <w:r>
        <w:t>portabilidade, quando aplicável;</w:t>
      </w:r>
    </w:p>
    <w:p>
      <w:pPr>
        <w:pStyle w:val="ListBullet"/>
      </w:pPr>
      <w:r>
        <w:t>informação sobre compartilhamentos realizados;</w:t>
      </w:r>
    </w:p>
    <w:p>
      <w:pPr>
        <w:pStyle w:val="ListBullet"/>
      </w:pPr>
      <w:r>
        <w:t>eliminação dos dados tratados com base no consentimento, ressalvadas as hipóteses legais de conservação;</w:t>
      </w:r>
    </w:p>
    <w:p>
      <w:pPr>
        <w:pStyle w:val="ListBullet"/>
      </w:pPr>
      <w:r>
        <w:t>revogação do consentimento, quando essa for a base aplicável;</w:t>
      </w:r>
    </w:p>
    <w:p>
      <w:pPr>
        <w:pStyle w:val="ListBullet"/>
      </w:pPr>
      <w:r>
        <w:t>oposição, nos casos previstos pela legislação; e</w:t>
      </w:r>
    </w:p>
    <w:p>
      <w:pPr>
        <w:pStyle w:val="ListBullet"/>
      </w:pPr>
      <w:r>
        <w:t>revisão de decisões unicamente automatizadas, quando aplicável.</w:t>
      </w:r>
    </w:p>
    <w:p>
      <w:r>
        <w:t>O exercício desses direitos observará as políticas e procedimentos corporativos de Privacidade da Atento.</w:t>
      </w:r>
    </w:p>
    <w:p>
      <w:pPr>
        <w:pStyle w:val="Heading2"/>
      </w:pPr>
      <w:r>
        <w:t>12. Como entrar em contato com a Privacidade</w:t>
      </w:r>
    </w:p>
    <w:p>
      <w:r>
        <w:t>Para exercer seus direitos como titular de dados pessoais ou obter esclarecimentos relacionados à privacidade e proteção de dados pessoais, o titular poderá utilizar o</w:t>
      </w:r>
      <w:r>
        <w:rPr>
          <w:b/>
        </w:rPr>
        <w:t xml:space="preserve"> Formulário de Solicitação dos Titulares de Dados Pessoais</w:t>
      </w:r>
      <w:r>
        <w:t xml:space="preserve"> disponibilizado pela Atento ou entrar em contato com o Encarregado pelo Tratamento de Dados Pessoais (DPO) por meio do endereço:</w:t>
      </w:r>
    </w:p>
    <w:p>
      <w:r>
        <w:t>dpo-br@atento.com.br</w:t>
      </w:r>
    </w:p>
    <w:p>
      <w:r>
        <w:t>Esses são os canais institucionais previstos nas políticas corporativas de candidatos e funcionários.</w:t>
      </w:r>
    </w:p>
    <w:p>
      <w:pPr>
        <w:pStyle w:val="Heading2"/>
      </w:pPr>
      <w:r>
        <w:t>13. Políticas aplicáveis</w:t>
      </w:r>
    </w:p>
    <w:p>
      <w:r>
        <w:t>Este Aviso deve ser interpretado de forma complementar às políticas e normas corporativas da Atento aplicáveis ao tratamento de dados pessoais, especialmente:</w:t>
      </w:r>
    </w:p>
    <w:p>
      <w:pPr>
        <w:pStyle w:val="ListBullet"/>
      </w:pPr>
      <w:r>
        <w:t>PO-026 — Política de Tratamento de Dados Pessoais de Funcionários;</w:t>
      </w:r>
    </w:p>
    <w:p>
      <w:pPr>
        <w:pStyle w:val="ListBullet"/>
      </w:pPr>
      <w:r>
        <w:t>PO-027 — Política de Tratamento de Dados de Candidatos; e</w:t>
      </w:r>
    </w:p>
    <w:p>
      <w:pPr>
        <w:pStyle w:val="ListBullet"/>
      </w:pPr>
      <w:r>
        <w:t>PO-029 — Política Interna de Privacidade e Proteção de Dados Pessoais.</w:t>
      </w:r>
    </w:p>
    <w:p>
      <w:r>
        <w:t>Na hipótese de alteração relevante no funcionamento do Hub, nas categorias de dados tratadas, nas finalidades, integrações externas ou formas de armazenamento, o presente Aviso deverá ser reavaliado e atualizado conforme necessário.</w:t>
      </w:r>
    </w:p>
    <w:p>
      <w:pPr>
        <w:pStyle w:val="Heading1"/>
      </w:pPr>
      <w:r>
        <w:t>Política de Privacidade</w:t>
      </w:r>
    </w:p>
    <w:p>
      <w:pPr>
        <w:pStyle w:val="Heading2"/>
      </w:pPr>
      <w:r>
        <w:t>1. Introdução</w:t>
      </w:r>
    </w:p>
    <w:p>
      <w:r>
        <w:t>Esta plataforma foi desenvolvida com base no princípio de Privacy by Design (PO-029_05 — Política Interna de Privacidade e Proteção de Dados Pessoais), priorizando a</w:t>
      </w:r>
      <w:r>
        <w:rPr>
          <w:b/>
        </w:rPr>
        <w:t xml:space="preserve"> minimização</w:t>
      </w:r>
      <w:r>
        <w:t xml:space="preserve"> e a</w:t>
      </w:r>
      <w:r>
        <w:rPr>
          <w:b/>
        </w:rPr>
        <w:t xml:space="preserve"> não retenção centralizada</w:t>
      </w:r>
      <w:r>
        <w:t xml:space="preserve"> de dados pessoais nos sistemas desta aplicação.</w:t>
      </w:r>
    </w:p>
    <w:p>
      <w:r>
        <w:t>Trata-se de uma</w:t>
      </w:r>
      <w:r>
        <w:rPr>
          <w:b/>
        </w:rPr>
        <w:t xml:space="preserve"> plataforma destinada ao uso interno da empresa</w:t>
      </w:r>
      <w:r>
        <w:t>, disponibilizada como ferramenta de apoio ao preenchimento de formulários de admissão e benefícios.</w:t>
      </w:r>
    </w:p>
    <w:p>
      <w:r>
        <w:t>Este documento deve ser lido em conjunto com o</w:t>
      </w:r>
      <w:r>
        <w:t xml:space="preserve"> Aviso de Privacidade — Hub Formulários RH</w:t>
      </w:r>
      <w:r>
        <w:t>, complementar às políticas corporativas PO-026_04 (Funcionários), PO-027_04 (Candidatos) e PO-029_05 (Privacidade e Proteção de Dados).</w:t>
      </w:r>
    </w:p>
    <w:p>
      <w:pPr>
        <w:pStyle w:val="Heading2"/>
      </w:pPr>
      <w:r>
        <w:t>2. Natureza do Tratamento de Dados</w:t>
      </w:r>
    </w:p>
    <w:p>
      <w:r>
        <w:t>Os dados inseridos pelo usuário:</w:t>
      </w:r>
    </w:p>
    <w:p>
      <w:pPr>
        <w:pStyle w:val="ListBullet"/>
      </w:pPr>
      <w:r>
        <w:t>São processados</w:t>
      </w:r>
      <w:r>
        <w:rPr>
          <w:b/>
        </w:rPr>
        <w:t xml:space="preserve"> exclusivamente no navegador</w:t>
      </w:r>
      <w:r>
        <w:t xml:space="preserve"> (client-side), para composição do PDF;</w:t>
      </w:r>
    </w:p>
    <w:p>
      <w:pPr>
        <w:pStyle w:val="ListBullet"/>
      </w:pPr>
      <w:r>
        <w:rPr>
          <w:b/>
        </w:rPr>
        <w:t>Não são enviados</w:t>
      </w:r>
      <w:r>
        <w:t xml:space="preserve"> a servidores desta aplicação para armazenamento de formulário ou finalização obrigatória do PDF;</w:t>
      </w:r>
    </w:p>
    <w:p>
      <w:pPr>
        <w:pStyle w:val="ListBullet"/>
      </w:pPr>
      <w:r>
        <w:rPr>
          <w:b/>
        </w:rPr>
        <w:t>Não são armazenados</w:t>
      </w:r>
      <w:r>
        <w:t xml:space="preserve"> em bases de dados remotas operadas por esta solução para os dados digitados nos formulários;</w:t>
      </w:r>
    </w:p>
    <w:p>
      <w:pPr>
        <w:pStyle w:val="ListBullet"/>
      </w:pPr>
      <w:r>
        <w:t>Algumas funcionalidades fazem chamadas técnicas a serviços externos para consultar CEP, listar municípios ou obter o IP público usado como evidência no PDF. Essas chamadas transmitem somente os dados mínimos indicados abaixo; o conteúdo integral do formulário não é enviado a esses serviços, nem o PDF gerado.</w:t>
      </w:r>
    </w:p>
    <w:p>
      <w:pPr>
        <w:pStyle w:val="ListBullet"/>
      </w:pPr>
      <w:r>
        <w:t>Permanecem durante o preenchimento na</w:t>
      </w:r>
      <w:r>
        <w:rPr>
          <w:b/>
        </w:rPr>
        <w:t xml:space="preserve"> memória do dispositivo</w:t>
      </w:r>
      <w:r>
        <w:t xml:space="preserve"> e, quando aplicável, em</w:t>
      </w:r>
      <w:r>
        <w:rPr>
          <w:b/>
        </w:rPr>
        <w:t xml:space="preserve"> armazenamento local opcional</w:t>
      </w:r>
      <w:r>
        <w:t xml:space="preserve"> exclusivamente no navegador (ver §7);</w:t>
      </w:r>
    </w:p>
    <w:p>
      <w:pPr>
        <w:pStyle w:val="ListBullet"/>
      </w:pPr>
      <w:r>
        <w:t>Após a geração do PDF, podem permanecer no dispositivo o conteúdo do formulário e o</w:t>
      </w:r>
      <w:r>
        <w:rPr>
          <w:b/>
        </w:rPr>
        <w:t xml:space="preserve"> rascunho local</w:t>
      </w:r>
      <w:r>
        <w:t xml:space="preserve"> (quando ativo) — o rascunho é</w:t>
      </w:r>
      <w:r>
        <w:rPr>
          <w:b/>
        </w:rPr>
        <w:t xml:space="preserve"> descartado automaticamente 24 horas após o último salvamento</w:t>
      </w:r>
      <w:r>
        <w:t>, sem opção de retenção indefinida, e pode ser eliminado a qualquer momento com</w:t>
      </w:r>
      <w:r>
        <w:rPr>
          <w:b/>
        </w:rPr>
        <w:t xml:space="preserve"> Descartar rascunho</w:t>
      </w:r>
      <w:r>
        <w:t xml:space="preserve"> ou limpeza do navegador;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Serviço</w:t>
            </w:r>
          </w:p>
        </w:tc>
        <w:tc>
          <w:tcPr>
            <w:tcW w:type="dxa" w:w="2880"/>
          </w:tcPr>
          <w:p>
            <w:r>
              <w:rPr>
                <w:b/>
              </w:rPr>
              <w:t>Finalidade</w:t>
            </w:r>
          </w:p>
        </w:tc>
        <w:tc>
          <w:tcPr>
            <w:tcW w:type="dxa" w:w="2880"/>
          </w:tcPr>
          <w:p>
            <w:r>
              <w:rPr>
                <w:b/>
              </w:rPr>
              <w:t>Dados mínimos da funcionalidade</w:t>
            </w:r>
          </w:p>
        </w:tc>
      </w:tr>
      <w:tr>
        <w:tc>
          <w:tcPr>
            <w:tcW w:type="dxa" w:w="2880"/>
          </w:tcPr>
          <w:p>
            <w:r>
              <w:t>ViaCEP</w:t>
            </w:r>
          </w:p>
        </w:tc>
        <w:tc>
          <w:tcPr>
            <w:tcW w:type="dxa" w:w="2880"/>
          </w:tcPr>
          <w:p>
            <w:r>
              <w:t>Consultar endereço pelo CEP informado.</w:t>
            </w:r>
          </w:p>
        </w:tc>
        <w:tc>
          <w:tcPr>
            <w:tcW w:type="dxa" w:w="2880"/>
          </w:tcPr>
          <w:p>
            <w:r>
              <w:t>CEP enviado no caminho da requisição.</w:t>
            </w:r>
          </w:p>
        </w:tc>
      </w:tr>
      <w:tr>
        <w:tc>
          <w:tcPr>
            <w:tcW w:type="dxa" w:w="2880"/>
          </w:tcPr>
          <w:p>
            <w:r>
              <w:t>BrasilAPI</w:t>
            </w:r>
          </w:p>
        </w:tc>
        <w:tc>
          <w:tcPr>
            <w:tcW w:type="dxa" w:w="2880"/>
          </w:tcPr>
          <w:p>
            <w:r>
              <w:t>Alternativa de consulta de endereço quando a consulta principal não retorna resultado.</w:t>
            </w:r>
          </w:p>
        </w:tc>
        <w:tc>
          <w:tcPr>
            <w:tcW w:type="dxa" w:w="2880"/>
          </w:tcPr>
          <w:p>
            <w:r>
              <w:t>CEP enviado no caminho da requisição.</w:t>
            </w:r>
          </w:p>
        </w:tc>
      </w:tr>
      <w:tr>
        <w:tc>
          <w:tcPr>
            <w:tcW w:type="dxa" w:w="2880"/>
          </w:tcPr>
          <w:p>
            <w:r>
              <w:t>api.kstrtech.com.br</w:t>
            </w:r>
          </w:p>
        </w:tc>
        <w:tc>
          <w:tcPr>
            <w:tcW w:type="dxa" w:w="2880"/>
          </w:tcPr>
          <w:p>
            <w:r>
              <w:t>Consultar a lista de municípios correspondente à UF.</w:t>
            </w:r>
          </w:p>
        </w:tc>
        <w:tc>
          <w:tcPr>
            <w:tcW w:type="dxa" w:w="2880"/>
          </w:tcPr>
          <w:p>
            <w:r>
              <w:t>Sigla da UF enviada no caminho da requisição.</w:t>
            </w:r>
          </w:p>
        </w:tc>
      </w:tr>
      <w:tr>
        <w:tc>
          <w:tcPr>
            <w:tcW w:type="dxa" w:w="2880"/>
          </w:tcPr>
          <w:p>
            <w:r>
              <w:t>api.ipify.org</w:t>
            </w:r>
          </w:p>
        </w:tc>
        <w:tc>
          <w:tcPr>
            <w:tcW w:type="dxa" w:w="2880"/>
          </w:tcPr>
          <w:p>
            <w:r>
              <w:t>Obter o IP público para compor a evidência técnica no PDF.</w:t>
            </w:r>
          </w:p>
        </w:tc>
        <w:tc>
          <w:tcPr>
            <w:tcW w:type="dxa" w:w="2880"/>
          </w:tcPr>
          <w:p>
            <w:r>
              <w:t>Nenhum campo do formulário; o serviço identifica o IP público de origem da própria requisição e o retorna ao navegador.</w:t>
            </w:r>
          </w:p>
        </w:tc>
      </w:tr>
    </w:tbl>
    <w:p/>
    <w:p>
      <w:r>
        <w:t>Além dos dados específicos indicados na tabela, os serviços recebem o IP de origem (IP público) e metadados técnicos inerentes às requisições; podem registrar esses dados de acesso conforme suas próprias políticas. A aplicação não envia a esses serviços os demais campos do formulário nem o PDF gerado.</w:t>
      </w:r>
    </w:p>
    <w:p>
      <w:pPr>
        <w:pStyle w:val="Heading2"/>
      </w:pPr>
      <w:r>
        <w:t>3. Dados Inseridos pelo Usuário</w:t>
      </w:r>
    </w:p>
    <w:p>
      <w:r>
        <w:t>O usuário poderá inserir, voluntariamente:</w:t>
      </w:r>
    </w:p>
    <w:p>
      <w:pPr>
        <w:pStyle w:val="ListBullet"/>
      </w:pPr>
      <w:r>
        <w:t>Dados de identificação: nome, CPF, RG e data de nascimento</w:t>
      </w:r>
    </w:p>
    <w:p>
      <w:pPr>
        <w:pStyle w:val="ListBullet"/>
      </w:pPr>
      <w:r>
        <w:t>Dados de contato e informações de endereço</w:t>
      </w:r>
    </w:p>
    <w:p>
      <w:pPr>
        <w:pStyle w:val="ListBullet"/>
      </w:pPr>
      <w:r>
        <w:t>Dados profissionais e relacionados à admissão</w:t>
      </w:r>
    </w:p>
    <w:p>
      <w:pPr>
        <w:pStyle w:val="ListBullet"/>
      </w:pPr>
      <w:r>
        <w:t>Dados bancários</w:t>
      </w:r>
    </w:p>
    <w:p>
      <w:pPr>
        <w:pStyle w:val="ListBullet"/>
      </w:pPr>
      <w:r>
        <w:t>Informações relacionadas a benefícios, familiares e dependentes</w:t>
      </w:r>
    </w:p>
    <w:p>
      <w:pPr>
        <w:pStyle w:val="ListBullet"/>
      </w:pPr>
      <w:r>
        <w:t>Dados necessários à assistência médica e outros benefícios</w:t>
      </w:r>
    </w:p>
    <w:p>
      <w:pPr>
        <w:pStyle w:val="ListBullet"/>
      </w:pPr>
      <w:r>
        <w:t>Quando aplicável, dados pessoais sensíveis, incluindo informações relacionadas à saúde</w:t>
      </w:r>
    </w:p>
    <w:p>
      <w:pPr>
        <w:pStyle w:val="ListBullet"/>
      </w:pPr>
      <w:r>
        <w:t>Demais campos previstos nos modelos de formulário institucional em uso</w:t>
      </w:r>
    </w:p>
    <w:p>
      <w:r>
        <w:t>Os dados tratados variam de acordo com o formulário utilizado e devem se limitar àqueles necessários para a respectiva finalidade (minimização). Categorias completas no</w:t>
      </w:r>
      <w:r>
        <w:t xml:space="preserve"> Aviso de Privacidade</w:t>
      </w:r>
      <w:r>
        <w:t>, § 3.</w:t>
      </w:r>
    </w:p>
    <w:p>
      <w:pPr>
        <w:pStyle w:val="Heading2"/>
      </w:pPr>
      <w:r>
        <w:t>4. Finalidade</w:t>
      </w:r>
    </w:p>
    <w:p>
      <w:r>
        <w:t>Os dados pessoais tratados por meio da ferramenta poderão ser utilizados, conforme aplicável, para:</w:t>
      </w:r>
    </w:p>
    <w:p>
      <w:pPr>
        <w:pStyle w:val="ListBullet"/>
      </w:pPr>
      <w:r>
        <w:t>viabilizar etapas do processo de admissão;</w:t>
      </w:r>
    </w:p>
    <w:p>
      <w:pPr>
        <w:pStyle w:val="ListBullet"/>
      </w:pPr>
      <w:r>
        <w:t>realizar o cadastramento necessário à formalização do vínculo de trabalho;</w:t>
      </w:r>
    </w:p>
    <w:p>
      <w:pPr>
        <w:pStyle w:val="ListBullet"/>
      </w:pPr>
      <w:r>
        <w:t>cumprir obrigações relacionadas à administração do vínculo empregatício;</w:t>
      </w:r>
    </w:p>
    <w:p>
      <w:pPr>
        <w:pStyle w:val="ListBullet"/>
      </w:pPr>
      <w:r>
        <w:t>viabilizar pagamentos e informações bancárias necessárias;</w:t>
      </w:r>
    </w:p>
    <w:p>
      <w:pPr>
        <w:pStyle w:val="ListBullet"/>
      </w:pPr>
      <w:r>
        <w:t>disponibilizar benefícios, inclusive a inclusão de dependentes;</w:t>
      </w:r>
    </w:p>
    <w:p>
      <w:pPr>
        <w:pStyle w:val="ListBullet"/>
      </w:pPr>
      <w:r>
        <w:t>viabilizar procedimentos relacionados à assistência médica; e</w:t>
      </w:r>
    </w:p>
    <w:p>
      <w:pPr>
        <w:pStyle w:val="ListBullet"/>
      </w:pPr>
      <w:r>
        <w:t>gerar os documentos necessários à execução dessas atividades.</w:t>
      </w:r>
    </w:p>
    <w:p>
      <w:pPr>
        <w:ind w:left="360"/>
      </w:pPr>
      <w:r>
        <w:rPr>
          <w:i/>
        </w:rPr>
        <w:t>A geração do arquivo PDF com base nas informações inseridas pelo próprio usuário é uma</w:t>
      </w:r>
      <w:r>
        <w:rPr>
          <w:b/>
          <w:i/>
        </w:rPr>
        <w:t xml:space="preserve"> funcionalidade</w:t>
      </w:r>
      <w:r>
        <w:rPr>
          <w:i/>
        </w:rPr>
        <w:t xml:space="preserve"> que viabiliza as finalidades acima — não é a finalidade principal do tratamento (ver</w:t>
      </w:r>
      <w:r>
        <w:rPr>
          <w:i/>
        </w:rPr>
        <w:t xml:space="preserve"> Aviso de Privacidade</w:t>
      </w:r>
      <w:r>
        <w:rPr>
          <w:i/>
        </w:rPr>
        <w:t>, § 4).</w:t>
      </w:r>
    </w:p>
    <w:p>
      <w:pPr>
        <w:pStyle w:val="Heading2"/>
      </w:pPr>
      <w:r>
        <w:t>5. Base Legal</w:t>
      </w:r>
    </w:p>
    <w:p>
      <w:r>
        <w:t>O tratamento observa as bases legais aplicáveis às respectivas atividades de</w:t>
      </w:r>
      <w:r>
        <w:rPr>
          <w:b/>
        </w:rPr>
        <w:t xml:space="preserve"> admissão, relação de trabalho, cumprimento de obrigações legais ou regulatórias, execução das obrigações relacionadas ao vínculo e disponibilização de benefícios</w:t>
      </w:r>
      <w:r>
        <w:t>, conforme as políticas corporativas (PO-026_04 e PO-027_04) e os registros de tratamento da Atento — não havendo alteração da fundamentação jurídica exclusivamente em razão da utilização da ferramenta.</w:t>
      </w:r>
    </w:p>
    <w:p>
      <w:r>
        <w:t>Para dados pessoais sensíveis, aplicam-se as hipóteses legais específicas dessas categorias. Fundamentos detalhados constam do inventário corporativo de tratamentos e do documento</w:t>
      </w:r>
      <w:r>
        <w:t xml:space="preserve"> Base legal (LGPD)</w:t>
      </w:r>
      <w:r>
        <w:t>.</w:t>
      </w:r>
    </w:p>
    <w:p>
      <w:pPr>
        <w:pStyle w:val="Heading2"/>
      </w:pPr>
      <w:r>
        <w:t>6. Compartilhamento de Dados</w:t>
      </w:r>
    </w:p>
    <w:p>
      <w:r>
        <w:t>Não há encaminhamento do conteúdo integral dos formulários para terceiros com finalidade de armazenamento centralizado ou geração remota do documento.</w:t>
      </w:r>
    </w:p>
    <w:p>
      <w:r>
        <w:t>Funcionalidades técnicas podem utilizar serviços externos necessários ao funcionamento (por exemplo, consultas de CEP e de lista de municípios), transmitindo somente os dados</w:t>
      </w:r>
      <w:r>
        <w:rPr>
          <w:b/>
        </w:rPr>
        <w:t xml:space="preserve"> estritamente necessários</w:t>
      </w:r>
      <w:r>
        <w:t xml:space="preserve"> à execução da funcionalidade, observando os princípios da necessidade, segurança e transparência.</w:t>
      </w:r>
    </w:p>
    <w:p>
      <w:r>
        <w:t>Serviços de infraestrutura (por exemplo hospedagem estática ou CDN) podem processar metadados de acesso conforme políticas do fornecedor; não devem incluir o</w:t>
      </w:r>
      <w:r>
        <w:rPr>
          <w:b/>
        </w:rPr>
        <w:t xml:space="preserve"> corpo dos formulários</w:t>
      </w:r>
      <w:r>
        <w:t xml:space="preserve"> nos registros operacionais da aplicação. O eventual compartilhamento posterior com prestadores relacionados ao vínculo e benefícios (bancos, operadoras de assistência médica, fornecedores tecnológicos) segue as regras corporativas das políticas da Atento.</w:t>
      </w:r>
    </w:p>
    <w:p>
      <w:pPr>
        <w:pStyle w:val="Heading2"/>
      </w:pPr>
      <w:r>
        <w:t>7. Armazenamento e Retenção</w:t>
      </w:r>
    </w:p>
    <w:p>
      <w:r>
        <w:rPr>
          <w:b/>
        </w:rPr>
        <w:t>7.1 Ausência de base centralizada:</w:t>
      </w:r>
      <w:r>
        <w:t xml:space="preserve"> não há armazenamento dos dados do formulário em</w:t>
      </w:r>
      <w:r>
        <w:rPr>
          <w:b/>
        </w:rPr>
        <w:t xml:space="preserve"> servidor de aplicação</w:t>
      </w:r>
      <w:r>
        <w:t xml:space="preserve"> operado por esta solução para consulta posterior típica de “cadastro web”.</w:t>
      </w:r>
    </w:p>
    <w:p>
      <w:r>
        <w:rPr>
          <w:b/>
        </w:rPr>
        <w:t>7.2 Após a geração do PDF:</w:t>
      </w:r>
      <w:r>
        <w:t xml:space="preserve"> os dados permanecem no formulário aberto, no rascunho local opcional e em cópias temporárias usadas para transferir dados entre formulários, para permitir revisão, correções ou nova geração do arquivo. O rascunho, os dados preenchidos e as cópias pendentes são</w:t>
      </w:r>
      <w:r>
        <w:rPr>
          <w:b/>
        </w:rPr>
        <w:t xml:space="preserve"> excluídos automaticamente 24 horas após o último salvamento</w:t>
      </w:r>
      <w:r>
        <w:t xml:space="preserve"> — a versão implantada não oferece retenção indefinida. Quando há rascunho sem decisão registrada, o modal de proteção de dados informa o prazo e oferece apenas manter por 24 horas ou apagar agora. Para rascunhos de versões anteriores que não registravam o horário, o modal informa que o prazo será contado da primeira abertura após esta atualização. Quando o prazo vence com a página aberta, o formulário também é limpo; a exclusão manual pelo menu</w:t>
      </w:r>
      <w:r>
        <w:rPr>
          <w:b/>
        </w:rPr>
        <w:t xml:space="preserve"> Descartar rascunho</w:t>
      </w:r>
      <w:r>
        <w:t xml:space="preserve"> ou a limpeza do navegador continuam disponíveis.</w:t>
      </w:r>
    </w:p>
    <w:p>
      <w:r>
        <w:rPr>
          <w:b/>
        </w:rPr>
        <w:t>7.3 Rascunho local (quando ativo na versão implantada):</w:t>
      </w:r>
      <w:r>
        <w:t xml:space="preserve"> pode existir</w:t>
      </w:r>
      <w:r>
        <w:rPr>
          <w:b/>
        </w:rPr>
        <w:t xml:space="preserve"> persistência opcional no navegador</w:t>
      </w:r>
      <w:r>
        <w:t xml:space="preserve"> (por exemplo</w:t>
      </w:r>
      <w:r>
        <w:rPr>
          <w:rFonts w:ascii="Consolas" w:hAnsi="Consolas"/>
        </w:rPr>
        <w:t xml:space="preserve"> localStorage</w:t>
      </w:r>
      <w:r>
        <w:t>) apenas para permitir retomar o preenchimento no mesmo dispositivo. Tal persistência:</w:t>
      </w:r>
    </w:p>
    <w:p>
      <w:pPr>
        <w:pStyle w:val="ListBullet"/>
      </w:pPr>
      <w:r>
        <w:t>permanece sob controle local do usuário;</w:t>
      </w:r>
    </w:p>
    <w:p>
      <w:pPr>
        <w:pStyle w:val="ListBullet"/>
      </w:pPr>
      <w:r>
        <w:t>pode ser</w:t>
      </w:r>
      <w:r>
        <w:rPr>
          <w:b/>
        </w:rPr>
        <w:t xml:space="preserve"> eliminada</w:t>
      </w:r>
      <w:r>
        <w:t xml:space="preserve"> pelo usuário através da função</w:t>
      </w:r>
      <w:r>
        <w:rPr>
          <w:b/>
        </w:rPr>
        <w:t xml:space="preserve"> Descartar rascunho</w:t>
      </w:r>
      <w:r>
        <w:t xml:space="preserve"> ou equivalente;</w:t>
      </w:r>
    </w:p>
    <w:p>
      <w:pPr>
        <w:pStyle w:val="ListBullet"/>
      </w:pPr>
      <w:r>
        <w:t>está sujeita ao</w:t>
      </w:r>
      <w:r>
        <w:rPr>
          <w:b/>
        </w:rPr>
        <w:t xml:space="preserve"> descarte automático 24 horas após o último salvamento</w:t>
      </w:r>
      <w:r>
        <w:t xml:space="preserve"> (mecanismo de expiração), sem retenção indefinida;</w:t>
      </w:r>
    </w:p>
    <w:p>
      <w:pPr>
        <w:pStyle w:val="ListBullet"/>
      </w:pPr>
      <w:r>
        <w:t>não substitui políticas de arquivo físico ou sistemas oficiais da empresa nem constitui registro funcional oficial.</w:t>
      </w:r>
    </w:p>
    <w:p>
      <w:r>
        <w:rPr>
          <w:b/>
        </w:rPr>
        <w:t>7.4 Controle de acesso por chave (quando ativo):</w:t>
      </w:r>
      <w:r>
        <w:t xml:space="preserve"> páginas protegidas podem utilizar</w:t>
      </w:r>
      <w:r>
        <w:rPr>
          <w:b/>
        </w:rPr>
        <w:t xml:space="preserve"> verificação criptográfica client-side</w:t>
      </w:r>
      <w:r>
        <w:t xml:space="preserve"> para restringir o acesso. Esta funcionalidade:</w:t>
      </w:r>
    </w:p>
    <w:p>
      <w:pPr>
        <w:pStyle w:val="ListBullet"/>
      </w:pPr>
      <w:r>
        <w:t>utiliza</w:t>
      </w:r>
      <w:r>
        <w:rPr>
          <w:b/>
        </w:rPr>
        <w:t xml:space="preserve"> sessionStorage</w:t>
      </w:r>
      <w:r>
        <w:t xml:space="preserve"> para armazenar um token de sessão aleatório e o timestamp de expiração —</w:t>
      </w:r>
      <w:r>
        <w:rPr>
          <w:b/>
        </w:rPr>
        <w:t xml:space="preserve"> não armazena</w:t>
      </w:r>
      <w:r>
        <w:t xml:space="preserve"> a chave de acesso inserida pelo usuário;</w:t>
      </w:r>
    </w:p>
    <w:p>
      <w:pPr>
        <w:pStyle w:val="ListBullet"/>
      </w:pPr>
      <w:r>
        <w:t>os verificadores são derivados de SHA-256 com salt próprio; as chaves originais</w:t>
      </w:r>
      <w:r>
        <w:rPr>
          <w:b/>
        </w:rPr>
        <w:t xml:space="preserve"> não existem</w:t>
      </w:r>
      <w:r>
        <w:t xml:space="preserve"> no código-fonte;</w:t>
      </w:r>
    </w:p>
    <w:p>
      <w:pPr>
        <w:pStyle w:val="ListBullet"/>
      </w:pPr>
      <w:r>
        <w:t>a sessão expira automaticamente após período de inatividade (padrão: 60 minutos) ou quando o usuário aciona</w:t>
      </w:r>
      <w:r>
        <w:rPr>
          <w:b/>
        </w:rPr>
        <w:t xml:space="preserve"> Encerrar acesso</w:t>
      </w:r>
      <w:r>
        <w:t>;</w:t>
      </w:r>
    </w:p>
    <w:p>
      <w:pPr>
        <w:pStyle w:val="ListBullet"/>
      </w:pPr>
      <w:r>
        <w:t>o</w:t>
      </w:r>
      <w:r>
        <w:rPr>
          <w:rFonts w:ascii="Consolas" w:hAnsi="Consolas"/>
        </w:rPr>
        <w:t xml:space="preserve"> sessionStorage</w:t>
      </w:r>
      <w:r>
        <w:t xml:space="preserve"> é limpo automaticamente ao fechar a aba do navegador;</w:t>
      </w:r>
    </w:p>
    <w:p>
      <w:pPr>
        <w:pStyle w:val="ListBullet"/>
      </w:pPr>
      <w:r>
        <w:t>estes dados de sessão</w:t>
      </w:r>
      <w:r>
        <w:rPr>
          <w:b/>
        </w:rPr>
        <w:t xml:space="preserve"> não são</w:t>
      </w:r>
      <w:r>
        <w:t xml:space="preserve"> transmitidos a servidores nem compartilhados com terceiros.</w:t>
      </w:r>
    </w:p>
    <w:p>
      <w:pPr>
        <w:pStyle w:val="Heading2"/>
      </w:pPr>
      <w:r>
        <w:t>8. Segurança</w:t>
      </w:r>
    </w:p>
    <w:p>
      <w:r>
        <w:t>A aplicação utiliza</w:t>
      </w:r>
      <w:r>
        <w:rPr>
          <w:b/>
        </w:rPr>
        <w:t xml:space="preserve"> HTTPS</w:t>
      </w:r>
      <w:r>
        <w:t xml:space="preserve"> em ambiente de produção e arquitetura que reduz a transmissão e a persistência desnecessárias de dados pessoais, priorizando o processamento local dos formulários e documentos, em consonância com os princípios de Privacy by Design (PO-029_05). O acesso a dados pessoais é limitado a profissionais com necessidade legítima (menor privilégio, necessidade e segregação de funções); dados sensíveis estão sujeitos a controles adicionais. Medidas complementares constam de</w:t>
      </w:r>
      <w:r>
        <w:t xml:space="preserve"> Baseline de segurança</w:t>
      </w:r>
      <w:r>
        <w:t>.</w:t>
      </w:r>
    </w:p>
    <w:p>
      <w:pPr>
        <w:pStyle w:val="Heading2"/>
      </w:pPr>
      <w:r>
        <w:t>9. Direitos do Titular</w:t>
      </w:r>
    </w:p>
    <w:p>
      <w:r>
        <w:t>O titular pode exercer os direitos previstos na LGPD — confirmação de tratamento, acesso, correção, anonimização/bloqueio/eliminação, portabilidade, informação sobre compartilhamentos, eliminação de dados tratados com base em consentimento, revogação do consentimento, oposição e revisão de decisões unicamente automatizadas, quando aplicável — pelos</w:t>
      </w:r>
      <w:r>
        <w:rPr>
          <w:b/>
        </w:rPr>
        <w:t xml:space="preserve"> canais institucionais</w:t>
      </w:r>
      <w:r>
        <w:t xml:space="preserve"> da Atento.</w:t>
      </w:r>
    </w:p>
    <w:p>
      <w:r>
        <w:t>Canais:</w:t>
      </w:r>
      <w:r>
        <w:rPr>
          <w:b/>
        </w:rPr>
        <w:t xml:space="preserve"> Formulário de Solicitação dos Titulares de Dados Pessoais</w:t>
      </w:r>
      <w:r>
        <w:t xml:space="preserve"> e o Encarregado pelo Tratamento de Dados Pessoais (DPO) —</w:t>
      </w:r>
      <w:r>
        <w:t xml:space="preserve"> dpo-br@atento.com.br</w:t>
      </w:r>
      <w:r>
        <w:t>. Na medida em que não há base de dados centralizada desta aplicação para os dados digitados pelo usuário, parte dos direitos pode relacionar-se a informações sob</w:t>
      </w:r>
      <w:r>
        <w:rPr>
          <w:b/>
        </w:rPr>
        <w:t xml:space="preserve"> custódia local</w:t>
      </w:r>
      <w:r>
        <w:t xml:space="preserve"> do dispositivo ou a processos de RH/arquivo já existentes na empresa.</w:t>
      </w:r>
    </w:p>
    <w:p>
      <w:pPr>
        <w:pStyle w:val="Heading2"/>
      </w:pPr>
      <w:r>
        <w:t>10. Responsável pelo Tratamento</w:t>
      </w:r>
    </w:p>
    <w:p>
      <w:r>
        <w:t>A</w:t>
      </w:r>
      <w:r>
        <w:rPr>
          <w:b/>
        </w:rPr>
        <w:t xml:space="preserve"> Atento Brasil S.A.</w:t>
      </w:r>
      <w:r>
        <w:t xml:space="preserve"> é responsável pelas atividades de tratamento de dados pessoais realizadas no âmbito dos processos de admissão, vínculo de trabalho e benefícios abrangidos por esta política, conforme as políticas corporativas aplicáveis. A ferramenta atua como</w:t>
      </w:r>
      <w:r>
        <w:rPr>
          <w:b/>
        </w:rPr>
        <w:t xml:space="preserve"> apoio à execução</w:t>
      </w:r>
      <w:r>
        <w:t xml:space="preserve"> dessas atividades, sem estabelecer, por si só, novas finalidades.</w:t>
      </w:r>
    </w:p>
    <w:p>
      <w:pPr>
        <w:pStyle w:val="Heading2"/>
      </w:pPr>
      <w:r>
        <w:t>11. Alterações</w:t>
      </w:r>
    </w:p>
    <w:p>
      <w:r>
        <w:t>Esta política pode ser atualizada a qualquer momento para refletir mudanças legais, organizacionais ou de versão da aplicação.</w:t>
      </w:r>
    </w:p>
    <w:p>
      <w:pPr>
        <w:pStyle w:val="Heading1"/>
      </w:pPr>
      <w:r>
        <w:t>Termos de Uso</w:t>
      </w:r>
    </w:p>
    <w:p>
      <w:pPr>
        <w:pStyle w:val="Heading2"/>
      </w:pPr>
      <w:r>
        <w:t>1. Aceitação</w:t>
      </w:r>
    </w:p>
    <w:p>
      <w:r>
        <w:t>Ao utilizar esta plataforma, o usuário declara estar ciente e de acordo com os presentes Termos de Uso.</w:t>
      </w:r>
    </w:p>
    <w:p>
      <w:pPr>
        <w:pStyle w:val="Heading2"/>
      </w:pPr>
      <w:r>
        <w:t>2. Natureza da Plataforma</w:t>
      </w:r>
    </w:p>
    <w:p>
      <w:r>
        <w:t>A plataforma consiste em uma ferramenta digital destinada ao preenchimento de formulários e geração de arquivos PDF.</w:t>
      </w:r>
    </w:p>
    <w:p>
      <w:r>
        <w:t>Trata-se de uma</w:t>
      </w:r>
      <w:r>
        <w:rPr>
          <w:b/>
        </w:rPr>
        <w:t xml:space="preserve"> plataforma destinada ao uso interno da Atento Brasil S.A.</w:t>
      </w:r>
      <w:r>
        <w:t>, como ferramenta de apoio aos processos de admissão e benefícios (ver</w:t>
      </w:r>
      <w:r>
        <w:t xml:space="preserve"> Aviso de Privacidade</w:t>
      </w:r>
      <w:r>
        <w:t>).</w:t>
      </w:r>
    </w:p>
    <w:p>
      <w:pPr>
        <w:pStyle w:val="Heading2"/>
      </w:pPr>
      <w:r>
        <w:t>3. Funcionamento</w:t>
      </w:r>
    </w:p>
    <w:p>
      <w:r>
        <w:t>A aplicação:</w:t>
      </w:r>
    </w:p>
    <w:p>
      <w:pPr>
        <w:pStyle w:val="ListBullet"/>
      </w:pPr>
      <w:r>
        <w:t>Opera exclusivamente no navegador do usuário;</w:t>
      </w:r>
    </w:p>
    <w:p>
      <w:pPr>
        <w:pStyle w:val="ListBullet"/>
      </w:pPr>
      <w:r>
        <w:rPr>
          <w:b/>
        </w:rPr>
        <w:t>Não envia</w:t>
      </w:r>
      <w:r>
        <w:t xml:space="preserve"> os dados do formulário para servidores da aplicação para fins de conclusão ou armazenamento centralizado do preenchimento;</w:t>
      </w:r>
    </w:p>
    <w:p>
      <w:pPr>
        <w:pStyle w:val="ListBullet"/>
      </w:pPr>
      <w:r>
        <w:rPr>
          <w:b/>
        </w:rPr>
        <w:t>Não realiza</w:t>
      </w:r>
      <w:r>
        <w:t>, nos termos desta arquitetura, persistência em bases de dados remotas operadas por esta solução para os dados digitados nos formulários;</w:t>
      </w:r>
    </w:p>
    <w:p>
      <w:pPr>
        <w:pStyle w:val="ListBullet"/>
      </w:pPr>
      <w:r>
        <w:t>Após gerar o PDF, os dados permanecem no formulário e no rascunho local (quando ativo); o rascunho e os dados preenchidos são excluídos automaticamente</w:t>
      </w:r>
      <w:r>
        <w:rPr>
          <w:b/>
        </w:rPr>
        <w:t xml:space="preserve"> 24 horas após o último salvamento</w:t>
      </w:r>
      <w:r>
        <w:t>, sem retenção indefinida. Para rascunhos de versões anteriores sem horário registrado, o prazo é contado da primeira abertura após a atualização, conforme informado no modal. O usuário também pode descartar os dados a qualquer momento ou limpar o armazenamento do navegador;</w:t>
      </w:r>
    </w:p>
    <w:p>
      <w:r>
        <w:rPr>
          <w:b/>
        </w:rPr>
        <w:t>Nota sobre rascunho:</w:t>
      </w:r>
      <w:r>
        <w:t xml:space="preserve"> versões da ferramenta podem disponibilizar</w:t>
      </w:r>
      <w:r>
        <w:rPr>
          <w:b/>
        </w:rPr>
        <w:t xml:space="preserve"> armazenamento local temporário no próprio navegador</w:t>
      </w:r>
      <w:r>
        <w:t xml:space="preserve"> (por exemplo</w:t>
      </w:r>
      <w:r>
        <w:rPr>
          <w:rFonts w:ascii="Consolas" w:hAnsi="Consolas"/>
        </w:rPr>
        <w:t xml:space="preserve"> localStorage</w:t>
      </w:r>
      <w:r>
        <w:t>) apenas para permitir continuar o preenchimento no mesmo dispositivo. O rascunho é</w:t>
      </w:r>
      <w:r>
        <w:rPr>
          <w:b/>
        </w:rPr>
        <w:t xml:space="preserve"> descartado automaticamente 24 horas após o último salvamento</w:t>
      </w:r>
      <w:r>
        <w:t>, sem opção de retenção indefinida; rascunhos antigos sem horário registrado recebem prazo de até 24 horas desde a primeira abertura após a atualização, informado no modal. O usuário também pode</w:t>
      </w:r>
      <w:r>
        <w:rPr>
          <w:b/>
        </w:rPr>
        <w:t xml:space="preserve"> descartá-lo a qualquer momento</w:t>
      </w:r>
      <w:r>
        <w:t xml:space="preserve"> pelos controles indicados na interface. Esse recurso não substitui arquivo institucional nem transfere dados para servidores da aplicação.</w:t>
      </w:r>
    </w:p>
    <w:p>
      <w:pPr>
        <w:pStyle w:val="Heading2"/>
      </w:pPr>
      <w:r>
        <w:t>4. Responsabilidade do Usuário</w:t>
      </w:r>
    </w:p>
    <w:p>
      <w:r>
        <w:t>O usuário é integralmente responsável por:</w:t>
      </w:r>
    </w:p>
    <w:p>
      <w:pPr>
        <w:pStyle w:val="ListBullet"/>
      </w:pPr>
      <w:r>
        <w:t>A veracidade das informações inseridas;</w:t>
      </w:r>
    </w:p>
    <w:p>
      <w:pPr>
        <w:pStyle w:val="ListBullet"/>
      </w:pPr>
      <w:r>
        <w:t>O uso adequado do documento gerado;</w:t>
      </w:r>
    </w:p>
    <w:p>
      <w:pPr>
        <w:pStyle w:val="ListBullet"/>
      </w:pPr>
      <w:r>
        <w:t>A guarda e proteção do arquivo após download;</w:t>
      </w:r>
    </w:p>
    <w:p>
      <w:pPr>
        <w:pStyle w:val="ListBullet"/>
      </w:pPr>
      <w:r>
        <w:t>O uso de equipamentos adequados e a gestão de sessões em ambientes partilhados (especialmente quando existir rascunho local), incluindo o</w:t>
      </w:r>
      <w:r>
        <w:rPr>
          <w:b/>
        </w:rPr>
        <w:t xml:space="preserve"> descarte do rascunho</w:t>
      </w:r>
      <w:r>
        <w:t xml:space="preserve"> quando o armazenamento local não for mais necessário;</w:t>
      </w:r>
    </w:p>
    <w:p>
      <w:pPr>
        <w:pStyle w:val="ListBullet"/>
      </w:pPr>
      <w:r>
        <w:t>Manter a confidencialidade da chave de acesso atribuída, não compartilhando-a com terceiros não autorizados;</w:t>
      </w:r>
    </w:p>
    <w:p>
      <w:pPr>
        <w:pStyle w:val="ListBullet"/>
      </w:pPr>
      <w:r>
        <w:t>Utilizar o botão</w:t>
      </w:r>
      <w:r>
        <w:rPr>
          <w:b/>
        </w:rPr>
        <w:t xml:space="preserve"> Encerrar acesso</w:t>
      </w:r>
      <w:r>
        <w:t xml:space="preserve"> ao terminar o uso, especialmente em dispositivos partilhados.</w:t>
      </w:r>
    </w:p>
    <w:p>
      <w:pPr>
        <w:pStyle w:val="Heading2"/>
      </w:pPr>
      <w:r>
        <w:t>5. Limitação de Responsabilidade</w:t>
      </w:r>
    </w:p>
    <w:p>
      <w:r>
        <w:t>O responsável pela plataforma não se responsabiliza por:</w:t>
      </w:r>
    </w:p>
    <w:p>
      <w:pPr>
        <w:pStyle w:val="ListBullet"/>
      </w:pPr>
      <w:r>
        <w:t>Informações incorretas inseridas pelo usuário;</w:t>
      </w:r>
    </w:p>
    <w:p>
      <w:pPr>
        <w:pStyle w:val="ListBullet"/>
      </w:pPr>
      <w:r>
        <w:t>Uso indevido dos documentos gerados;</w:t>
      </w:r>
    </w:p>
    <w:p>
      <w:pPr>
        <w:pStyle w:val="ListBullet"/>
      </w:pPr>
      <w:r>
        <w:t>Danos indiretos decorrentes da utilização da ferramenta.</w:t>
      </w:r>
    </w:p>
    <w:p>
      <w:pPr>
        <w:pStyle w:val="Heading2"/>
      </w:pPr>
      <w:r>
        <w:t>6. Uso Indevido</w:t>
      </w:r>
    </w:p>
    <w:p>
      <w:r>
        <w:t>É proibido:</w:t>
      </w:r>
    </w:p>
    <w:p>
      <w:pPr>
        <w:pStyle w:val="ListBullet"/>
      </w:pPr>
      <w:r>
        <w:t>Inserir informações falsas ou fraudulentas;</w:t>
      </w:r>
    </w:p>
    <w:p>
      <w:pPr>
        <w:pStyle w:val="ListBullet"/>
      </w:pPr>
      <w:r>
        <w:t>Utilizar a plataforma para fins ilícitos;</w:t>
      </w:r>
    </w:p>
    <w:p>
      <w:pPr>
        <w:pStyle w:val="ListBullet"/>
      </w:pPr>
      <w:r>
        <w:t>Tentar comprometer a segurança da aplicação.</w:t>
      </w:r>
    </w:p>
    <w:p>
      <w:pPr>
        <w:pStyle w:val="Heading2"/>
      </w:pPr>
      <w:r>
        <w:t>7. Controle de acesso</w:t>
      </w:r>
    </w:p>
    <w:p>
      <w:r>
        <w:t>Algumas páginas da plataforma podem utilizar</w:t>
      </w:r>
      <w:r>
        <w:rPr>
          <w:b/>
        </w:rPr>
        <w:t xml:space="preserve"> verificação criptográfica client-side</w:t>
      </w:r>
      <w:r>
        <w:t xml:space="preserve"> para restringir o acesso. Esta proteção:</w:t>
      </w:r>
    </w:p>
    <w:p>
      <w:pPr>
        <w:pStyle w:val="ListBullet"/>
      </w:pPr>
      <w:r>
        <w:t>utiliza chaves derivadas via SHA-256 com salt — as chaves originais</w:t>
      </w:r>
      <w:r>
        <w:rPr>
          <w:b/>
        </w:rPr>
        <w:t xml:space="preserve"> não são</w:t>
      </w:r>
      <w:r>
        <w:t xml:space="preserve"> armazenadas no código-fonte;</w:t>
      </w:r>
    </w:p>
    <w:p>
      <w:pPr>
        <w:pStyle w:val="ListBullet"/>
      </w:pPr>
      <w:r>
        <w:t>cria uma sessão local temporária no navegador (expira após inatividade ou ao fechar a aba);</w:t>
      </w:r>
    </w:p>
    <w:p>
      <w:pPr>
        <w:pStyle w:val="ListBullet"/>
      </w:pPr>
      <w:r>
        <w:t>não constitui autenticação server-side e não substitui controles de segurança corporativos;</w:t>
      </w:r>
    </w:p>
    <w:p>
      <w:pPr>
        <w:pStyle w:val="ListBullet"/>
      </w:pPr>
      <w:r>
        <w:t>deve ser tratada como proteção contra acesso casual e compartilhamento indiscriminado de links.</w:t>
      </w:r>
    </w:p>
    <w:p>
      <w:r>
        <w:t>Usuários avançados com controle total do navegador podem potencialmente contornar esta verificação. A plataforma não se responsabiliza por consequências do compartilhamento indevido de chaves de acesso.</w:t>
      </w:r>
    </w:p>
    <w:p>
      <w:pPr>
        <w:pStyle w:val="Heading2"/>
      </w:pPr>
      <w:r>
        <w:t>8. Segurança da informação e conformidade</w:t>
      </w:r>
    </w:p>
    <w:p>
      <w:r>
        <w:t>O uso da plataforma deve observar as políticas internas da empresa em matéria de proteção de dados e segurança da informação. Documentação complementar encontra-se em</w:t>
      </w:r>
      <w:r>
        <w:rPr>
          <w:rFonts w:ascii="Consolas" w:hAnsi="Consolas"/>
        </w:rPr>
        <w:t xml:space="preserve"> /Docs</w:t>
      </w:r>
      <w:r>
        <w:t>, incluindo baseline de segurança e política de privacidade aplicável à versão implantada.</w:t>
      </w:r>
    </w:p>
    <w:p>
      <w:pPr>
        <w:pStyle w:val="Heading2"/>
      </w:pPr>
      <w:r>
        <w:t>9. Disponibilidade</w:t>
      </w:r>
    </w:p>
    <w:p>
      <w:r>
        <w:t>A plataforma pode ser modificada, suspensa ou descontinuada a qualquer momento.</w:t>
      </w:r>
    </w:p>
    <w:p>
      <w:pPr>
        <w:pStyle w:val="Heading2"/>
      </w:pPr>
      <w:r>
        <w:t>10. Alterações</w:t>
      </w:r>
    </w:p>
    <w:p>
      <w:r>
        <w:t>Estes termos podem ser atualizados a qualquer momento. Recomenda-se a consulta periódica à versão vigente.</w:t>
      </w:r>
    </w:p>
    <w:p>
      <w:pPr>
        <w:pStyle w:val="Heading1"/>
      </w:pPr>
      <w:r>
        <w:t>Fluxo de dados</w:t>
      </w:r>
    </w:p>
    <w:p>
      <w:r>
        <w:t>Este documento descreve o fluxo de dados da ferramenta de formulários e PDF</w:t>
      </w:r>
      <w:r>
        <w:rPr>
          <w:b/>
        </w:rPr>
        <w:t xml:space="preserve"> na perspectiva técnica</w:t>
      </w:r>
      <w:r>
        <w:t>, alinhado ao modelo corporativo e complementado com o comportamento das versões que disponibilizam rascunho local.</w:t>
      </w:r>
    </w:p>
    <w:p>
      <w:pPr>
        <w:pStyle w:val="Heading2"/>
      </w:pPr>
      <w:r>
        <w:t>Entrada</w:t>
      </w:r>
    </w:p>
    <w:p>
      <w:r>
        <w:t>Usuário insere dados manualmente nos formulários HTML servidos estaticamente.</w:t>
      </w:r>
    </w:p>
    <w:p>
      <w:pPr>
        <w:pStyle w:val="Heading2"/>
      </w:pPr>
      <w:r>
        <w:t>Processamento</w:t>
      </w:r>
    </w:p>
    <w:p>
      <w:pPr>
        <w:pStyle w:val="ListBullet"/>
      </w:pPr>
      <w:r>
        <w:t>O preenchimento, a composição dos campos e a geração do PDF ocorrem no navegador; as consultas externas descritas abaixo processam apenas os dados mínimos necessários a cada funcionalidade.</w:t>
      </w:r>
    </w:p>
    <w:p>
      <w:pPr>
        <w:pStyle w:val="ListBullet"/>
      </w:pPr>
      <w:r>
        <w:t>Dados mantidos em</w:t>
      </w:r>
      <w:r>
        <w:rPr>
          <w:b/>
        </w:rPr>
        <w:t xml:space="preserve"> memória (RAM)</w:t>
      </w:r>
      <w:r>
        <w:t xml:space="preserve"> durante a sessão de preenchimento e geração do PDF.</w:t>
      </w:r>
    </w:p>
    <w:p>
      <w:pPr>
        <w:pStyle w:val="Heading2"/>
      </w:pPr>
      <w:r>
        <w:t>Integrações externas da solução</w:t>
      </w:r>
    </w:p>
    <w:p>
      <w:r>
        <w:t>Para funcionalidades específicas, o navegador faz requisições a serviços externos. Cada serviço recebe somente o dado funcional indicado abaixo, além do IP público de origem e dos metadados técnicos inerentes à requisição: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Serviço</w:t>
            </w:r>
          </w:p>
        </w:tc>
        <w:tc>
          <w:tcPr>
            <w:tcW w:type="dxa" w:w="2880"/>
          </w:tcPr>
          <w:p>
            <w:r>
              <w:rPr>
                <w:b/>
              </w:rPr>
              <w:t>Finalidade</w:t>
            </w:r>
          </w:p>
        </w:tc>
        <w:tc>
          <w:tcPr>
            <w:tcW w:type="dxa" w:w="2880"/>
          </w:tcPr>
          <w:p>
            <w:r>
              <w:rPr>
                <w:b/>
              </w:rPr>
              <w:t>Dado funcional transmitido</w:t>
            </w:r>
          </w:p>
        </w:tc>
      </w:tr>
      <w:tr>
        <w:tc>
          <w:tcPr>
            <w:tcW w:type="dxa" w:w="2880"/>
          </w:tcPr>
          <w:p>
            <w:r>
              <w:t>ViaCEP</w:t>
            </w:r>
          </w:p>
        </w:tc>
        <w:tc>
          <w:tcPr>
            <w:tcW w:type="dxa" w:w="2880"/>
          </w:tcPr>
          <w:p>
            <w:r>
              <w:t>Consultar endereço.</w:t>
            </w:r>
          </w:p>
        </w:tc>
        <w:tc>
          <w:tcPr>
            <w:tcW w:type="dxa" w:w="2880"/>
          </w:tcPr>
          <w:p>
            <w:r>
              <w:t>CEP enviado no caminho da requisição.</w:t>
            </w:r>
          </w:p>
        </w:tc>
      </w:tr>
      <w:tr>
        <w:tc>
          <w:tcPr>
            <w:tcW w:type="dxa" w:w="2880"/>
          </w:tcPr>
          <w:p>
            <w:r>
              <w:t>BrasilAPI</w:t>
            </w:r>
          </w:p>
        </w:tc>
        <w:tc>
          <w:tcPr>
            <w:tcW w:type="dxa" w:w="2880"/>
          </w:tcPr>
          <w:p>
            <w:r>
              <w:t>Alternativa para consulta de endereço quando a consulta principal não retorna resultado.</w:t>
            </w:r>
          </w:p>
        </w:tc>
        <w:tc>
          <w:tcPr>
            <w:tcW w:type="dxa" w:w="2880"/>
          </w:tcPr>
          <w:p>
            <w:r>
              <w:t>CEP enviado no caminho da requisição.</w:t>
            </w:r>
          </w:p>
        </w:tc>
      </w:tr>
      <w:tr>
        <w:tc>
          <w:tcPr>
            <w:tcW w:type="dxa" w:w="2880"/>
          </w:tcPr>
          <w:p>
            <w:r>
              <w:t>api.kstrtech.com.br</w:t>
            </w:r>
          </w:p>
        </w:tc>
        <w:tc>
          <w:tcPr>
            <w:tcW w:type="dxa" w:w="2880"/>
          </w:tcPr>
          <w:p>
            <w:r>
              <w:t>Consultar municípios da unidade federativa selecionada.</w:t>
            </w:r>
          </w:p>
        </w:tc>
        <w:tc>
          <w:tcPr>
            <w:tcW w:type="dxa" w:w="2880"/>
          </w:tcPr>
          <w:p>
            <w:r>
              <w:t>Sigla da UF enviada no caminho da requisição.</w:t>
            </w:r>
          </w:p>
        </w:tc>
      </w:tr>
      <w:tr>
        <w:tc>
          <w:tcPr>
            <w:tcW w:type="dxa" w:w="2880"/>
          </w:tcPr>
          <w:p>
            <w:r>
              <w:t>api.ipify.org</w:t>
            </w:r>
          </w:p>
        </w:tc>
        <w:tc>
          <w:tcPr>
            <w:tcW w:type="dxa" w:w="2880"/>
          </w:tcPr>
          <w:p>
            <w:r>
              <w:t>Obter o IP público para incluí-lo como evidência técnica no PDF.</w:t>
            </w:r>
          </w:p>
        </w:tc>
        <w:tc>
          <w:tcPr>
            <w:tcW w:type="dxa" w:w="2880"/>
          </w:tcPr>
          <w:p>
            <w:r>
              <w:t>Nenhum campo do formulário; o serviço identifica o IP público de origem da própria requisição e o retorna ao navegador.</w:t>
            </w:r>
          </w:p>
        </w:tc>
      </w:tr>
    </w:tbl>
    <w:p/>
    <w:p>
      <w:r>
        <w:t>Os provedores podem registrar o IP de origem e metadados de acesso conforme suas próprias políticas. O PDF gerado não é enviado a esses serviços; o conteúdo integral do formulário não é enviado.</w:t>
      </w:r>
    </w:p>
    <w:p>
      <w:r>
        <w:rPr>
          <w:b/>
        </w:rPr>
        <w:t>Modelo corporativo original (minimização máxima):</w:t>
      </w:r>
      <w:r>
        <w:t xml:space="preserve"> ausência de uso de</w:t>
      </w:r>
      <w:r>
        <w:rPr>
          <w:rFonts w:ascii="Consolas" w:hAnsi="Consolas"/>
        </w:rPr>
        <w:t xml:space="preserve"> localStorage</w:t>
      </w:r>
      <w:r>
        <w:t>,</w:t>
      </w:r>
      <w:r>
        <w:rPr>
          <w:rFonts w:ascii="Consolas" w:hAnsi="Consolas"/>
        </w:rPr>
        <w:t xml:space="preserve"> sessionStorage</w:t>
      </w:r>
      <w:r>
        <w:t xml:space="preserve"> ou</w:t>
      </w:r>
      <w:r>
        <w:rPr>
          <w:rFonts w:ascii="Consolas" w:hAnsi="Consolas"/>
        </w:rPr>
        <w:t xml:space="preserve"> IndexedDB</w:t>
      </w:r>
      <w:r>
        <w:t xml:space="preserve"> para dados pessoais — estado puramente efêmero.</w:t>
      </w:r>
    </w:p>
    <w:p>
      <w:r>
        <w:rPr>
          <w:b/>
        </w:rPr>
        <w:t>Versões implantadas com recurso de rascunho:</w:t>
      </w:r>
      <w:r>
        <w:t xml:space="preserve"> pode existir uso</w:t>
      </w:r>
      <w:r>
        <w:rPr>
          <w:b/>
        </w:rPr>
        <w:t xml:space="preserve"> controlado</w:t>
      </w:r>
      <w:r>
        <w:t xml:space="preserve"> de</w:t>
      </w:r>
      <w:r>
        <w:rPr>
          <w:rFonts w:ascii="Consolas" w:hAnsi="Consolas"/>
        </w:rPr>
        <w:t xml:space="preserve"> localStorage</w:t>
      </w:r>
      <w:r>
        <w:t xml:space="preserve"> (ou equivalente)</w:t>
      </w:r>
      <w:r>
        <w:rPr>
          <w:b/>
        </w:rPr>
        <w:t xml:space="preserve"> apenas</w:t>
      </w:r>
      <w:r>
        <w:t xml:space="preserve"> para permitir retomar o preenchimento no mesmo navegador/dispositivo, com:</w:t>
      </w:r>
    </w:p>
    <w:p>
      <w:pPr>
        <w:pStyle w:val="ListBullet"/>
      </w:pPr>
      <w:r>
        <w:t>eliminação disponível via</w:t>
      </w:r>
      <w:r>
        <w:rPr>
          <w:b/>
        </w:rPr>
        <w:t xml:space="preserve"> Descartar rascunho</w:t>
      </w:r>
      <w:r>
        <w:t>;</w:t>
      </w:r>
    </w:p>
    <w:p>
      <w:pPr>
        <w:pStyle w:val="ListBullet"/>
      </w:pPr>
      <w:r>
        <w:rPr>
          <w:b/>
        </w:rPr>
        <w:t>expiração automática</w:t>
      </w:r>
      <w:r>
        <w:t>: descarte do rascunho</w:t>
      </w:r>
      <w:r>
        <w:rPr>
          <w:b/>
        </w:rPr>
        <w:t xml:space="preserve"> 24 horas após o último salvamento</w:t>
      </w:r>
      <w:r>
        <w:t xml:space="preserve"> (módulo</w:t>
      </w:r>
      <w:r>
        <w:rPr>
          <w:rFonts w:ascii="Consolas" w:hAnsi="Consolas"/>
        </w:rPr>
        <w:t xml:space="preserve"> rascunho-ttl.js</w:t>
      </w:r>
      <w:r>
        <w:t>), sem opção de retenção indefinida; para rascunhos antigos sem horário registrado, o prazo começa na primeira abertura após a atualização, conforme informado no modal;</w:t>
      </w:r>
    </w:p>
    <w:p>
      <w:pPr>
        <w:pStyle w:val="ListBullet"/>
      </w:pPr>
      <w:r>
        <w:t>finalidade limitada à conveniência do usuário no mesmo dispositivo, até eliminação por expiração,</w:t>
      </w:r>
      <w:r>
        <w:rPr>
          <w:b/>
        </w:rPr>
        <w:t xml:space="preserve"> Descartar rascunho</w:t>
      </w:r>
      <w:r>
        <w:t xml:space="preserve"> ou limpeza local do navegador;</w:t>
      </w:r>
    </w:p>
    <w:p>
      <w:pPr>
        <w:pStyle w:val="ListBullet"/>
      </w:pPr>
      <w:r>
        <w:rPr>
          <w:b/>
        </w:rPr>
        <w:t>sem</w:t>
      </w:r>
      <w:r>
        <w:t xml:space="preserve"> envio desses dados ao servidor da aplicação para armazenamento remoto do formulário.</w:t>
      </w:r>
    </w:p>
    <w:p>
      <w:pPr>
        <w:pStyle w:val="Heading2"/>
      </w:pPr>
      <w:r>
        <w:t>Geração</w:t>
      </w:r>
    </w:p>
    <w:p>
      <w:pPr>
        <w:pStyle w:val="ListBullet"/>
      </w:pPr>
      <w:r>
        <w:t>Biblioteca JavaScript gera o PDF localmente no dispositivo.</w:t>
      </w:r>
    </w:p>
    <w:p>
      <w:pPr>
        <w:pStyle w:val="Heading2"/>
      </w:pPr>
      <w:r>
        <w:t>Saída</w:t>
      </w:r>
    </w:p>
    <w:p>
      <w:pPr>
        <w:pStyle w:val="ListBullet"/>
      </w:pPr>
      <w:r>
        <w:t>Download direto para o dispositivo do usuário.</w:t>
      </w:r>
    </w:p>
    <w:p>
      <w:pPr>
        <w:pStyle w:val="Heading2"/>
      </w:pPr>
      <w:r>
        <w:t>Descarte</w:t>
      </w:r>
    </w:p>
    <w:p>
      <w:pPr>
        <w:pStyle w:val="ListBullet"/>
      </w:pPr>
      <w:r>
        <w:t>Após gerar o PDF, os dados permanecem no formulário aberto, no rascunho local e em cópias temporárias pendentes de transferência entre formulários até a expiração, o descarte explícito ou a limpeza do armazenamento local.</w:t>
      </w:r>
    </w:p>
    <w:p>
      <w:pPr>
        <w:pStyle w:val="ListBullet"/>
      </w:pPr>
      <w:r>
        <w:rPr>
          <w:b/>
        </w:rPr>
        <w:t>Expiração automática:</w:t>
      </w:r>
      <w:r>
        <w:t xml:space="preserve"> o rascunho, os dados do formulário e as cópias temporárias pendentes são excluídos</w:t>
      </w:r>
      <w:r>
        <w:rPr>
          <w:b/>
        </w:rPr>
        <w:t xml:space="preserve"> 24 horas após o último salvamento</w:t>
      </w:r>
      <w:r>
        <w:t xml:space="preserve"> (</w:t>
      </w:r>
      <w:r>
        <w:rPr>
          <w:rFonts w:ascii="Consolas" w:hAnsi="Consolas"/>
        </w:rPr>
        <w:t>rascunho-ttl.js</w:t>
      </w:r>
      <w:r>
        <w:t>), com notificação na sessão aberta e descarte silencioso ao reabrir a página; no modal de proteção de dados o titular pode apagar o rascunho agora ou mantê-lo apenas por 24 horas. Rascunhos de versões anteriores sem horário registrado iniciam esse prazo na primeira abertura após a atualização, conforme informado no modal.</w:t>
      </w:r>
    </w:p>
    <w:p>
      <w:pPr>
        <w:pStyle w:val="ListBullet"/>
      </w:pPr>
      <w:r>
        <w:t>Rascunho local é removido imediatamente quando o usuário aciona</w:t>
      </w:r>
      <w:r>
        <w:rPr>
          <w:b/>
        </w:rPr>
        <w:t xml:space="preserve"> Descartar rascunho</w:t>
      </w:r>
      <w:r>
        <w:t>.</w:t>
      </w:r>
    </w:p>
    <w:p>
      <w:pPr>
        <w:pStyle w:val="ListBullet"/>
      </w:pPr>
      <w:r>
        <w:t>O armazenamento local não substitui os sistemas corporativos oficiais nem constitui registro funcional oficial; a exclusão no Hub não alcança informações já incorporadas a esses sistemas (ver</w:t>
      </w:r>
      <w:r>
        <w:t xml:space="preserve"> Aviso de Privacidade</w:t>
      </w:r>
      <w:r>
        <w:t>, § 7).</w:t>
      </w:r>
    </w:p>
    <w:p>
      <w:pPr>
        <w:pStyle w:val="Heading2"/>
      </w:pPr>
      <w:r>
        <w:t>Observação — O que não há (por desenho)</w:t>
      </w:r>
    </w:p>
    <w:p>
      <w:r>
        <w:t>Não há, nos termos desta solução:</w:t>
      </w:r>
    </w:p>
    <w:p>
      <w:pPr>
        <w:pStyle w:val="ListBullet"/>
      </w:pPr>
      <w:r>
        <w:t>Backend aplicacional obrigatório para guardar o formulário completo nos servidores desta app;</w:t>
      </w:r>
    </w:p>
    <w:p>
      <w:pPr>
        <w:pStyle w:val="ListBullet"/>
      </w:pPr>
      <w:r>
        <w:t>API própria para receber os campos preenchidos para conclusão do PDF;</w:t>
      </w:r>
    </w:p>
    <w:p>
      <w:pPr>
        <w:pStyle w:val="ListBullet"/>
      </w:pPr>
      <w:r>
        <w:t>Banco de dados central nesta aplicação para os dados digitados no formulário;</w:t>
      </w:r>
    </w:p>
    <w:p>
      <w:pPr>
        <w:pStyle w:val="ListBullet"/>
      </w:pPr>
      <w:r>
        <w:t>Envio obrigatório dos dados do formulário para servidores para gerar o PDF;</w:t>
      </w:r>
    </w:p>
    <w:p>
      <w:pPr>
        <w:pStyle w:val="ListBullet"/>
      </w:pPr>
      <w:r>
        <w:t>Logs de aplicação contendo</w:t>
      </w:r>
      <w:r>
        <w:rPr>
          <w:b/>
        </w:rPr>
        <w:t xml:space="preserve"> payload</w:t>
      </w:r>
      <w:r>
        <w:t xml:space="preserve"> de formulários com dados pessoais;</w:t>
      </w:r>
    </w:p>
    <w:p>
      <w:pPr>
        <w:pStyle w:val="ListBullet"/>
      </w:pPr>
      <w:r>
        <w:t>Chaves de acesso no código-fonte — apenas verificadores derivados (SHA-256 + salt) existem no</w:t>
      </w:r>
      <w:r>
        <w:rPr>
          <w:rFonts w:ascii="Consolas" w:hAnsi="Consolas"/>
        </w:rPr>
        <w:t xml:space="preserve"> guard.js</w:t>
      </w:r>
      <w:r>
        <w:t>.</w:t>
      </w:r>
    </w:p>
    <w:p>
      <w:pPr>
        <w:pStyle w:val="Heading2"/>
      </w:pPr>
      <w:r>
        <w:t>Controle de acesso (quando ativo)</w:t>
      </w:r>
    </w:p>
    <w:p>
      <w:r>
        <w:t>Além do fluxo de preenchimento, páginas protegidas utilizam</w:t>
      </w:r>
      <w:r>
        <w:rPr>
          <w:rFonts w:ascii="Consolas" w:hAnsi="Consolas"/>
        </w:rPr>
        <w:t xml:space="preserve"> sessionStorage</w:t>
      </w:r>
      <w:r>
        <w:t xml:space="preserve"> para:</w:t>
      </w:r>
    </w:p>
    <w:p>
      <w:pPr>
        <w:pStyle w:val="ListBullet"/>
      </w:pPr>
      <w:r>
        <w:t>Armazenar um</w:t>
      </w:r>
      <w:r>
        <w:rPr>
          <w:b/>
        </w:rPr>
        <w:t xml:space="preserve"> token aleatório</w:t>
      </w:r>
      <w:r>
        <w:t xml:space="preserve"> (gerado via</w:t>
      </w:r>
      <w:r>
        <w:rPr>
          <w:rFonts w:ascii="Consolas" w:hAnsi="Consolas"/>
        </w:rPr>
        <w:t xml:space="preserve"> crypto.getRandomValues()</w:t>
      </w:r>
      <w:r>
        <w:t>);</w:t>
      </w:r>
    </w:p>
    <w:p>
      <w:pPr>
        <w:pStyle w:val="ListBullet"/>
      </w:pPr>
      <w:r>
        <w:t>Armazenar o</w:t>
      </w:r>
      <w:r>
        <w:rPr>
          <w:b/>
        </w:rPr>
        <w:t xml:space="preserve"> timestamp de expiração</w:t>
      </w:r>
      <w:r>
        <w:t xml:space="preserve"> da sessão;</w:t>
      </w:r>
    </w:p>
    <w:p>
      <w:pPr>
        <w:pStyle w:val="ListBullet"/>
      </w:pPr>
      <w:r>
        <w:t>Armazenar o</w:t>
      </w:r>
      <w:r>
        <w:rPr>
          <w:b/>
        </w:rPr>
        <w:t xml:space="preserve"> path</w:t>
      </w:r>
      <w:r>
        <w:t xml:space="preserve"> da rota autenticada.</w:t>
      </w:r>
    </w:p>
    <w:p>
      <w:r>
        <w:t>Estes dados de sessão</w:t>
      </w:r>
      <w:r>
        <w:rPr>
          <w:b/>
        </w:rPr>
        <w:t xml:space="preserve"> não contêm</w:t>
      </w:r>
      <w:r>
        <w:t xml:space="preserve"> a chave de acesso inserida pelo usuário, não são transmitidos a servidores e são limpos automaticamente ao fechar a aba ou ao acionar</w:t>
      </w:r>
      <w:r>
        <w:rPr>
          <w:b/>
        </w:rPr>
        <w:t xml:space="preserve"> Encerrar acesso</w:t>
      </w:r>
      <w:r>
        <w:t>.</w:t>
      </w:r>
    </w:p>
    <w:p>
      <w:r>
        <w:t>Infraestrutura de hospedagem/CDN pode gerar logs operacionais sem conteúdo do formulário — devem ser considerados no inventário de tratamentos quando aplicável.</w:t>
      </w:r>
    </w:p>
    <w:p>
      <w:pPr>
        <w:pStyle w:val="Heading2"/>
      </w:pPr>
      <w:r>
        <w:t>Diagrama (texto)</w:t>
      </w:r>
    </w:p>
    <w:p>
      <w:r>
        <w:rPr>
          <w:rFonts w:ascii="Consolas" w:hAnsi="Consolas"/>
        </w:rPr>
        <w:t xml:space="preserve">                    ┌─────────────────────┐</w:t>
      </w:r>
      <w:r>
        <w:br/>
      </w:r>
      <w:r>
        <w:rPr>
          <w:rFonts w:ascii="Consolas" w:hAnsi="Consolas"/>
        </w:rPr>
        <w:t>[Usuário] ────────► │ Formulário (browser)│ ──► [PDF local] ──► [Dispositivo]</w:t>
      </w:r>
      <w:r>
        <w:br/>
      </w:r>
      <w:r>
        <w:rPr>
          <w:rFonts w:ascii="Consolas" w:hAnsi="Consolas"/>
        </w:rPr>
        <w:t xml:space="preserve">                    └──────────┬──────────┘</w:t>
      </w:r>
      <w:r>
        <w:br/>
      </w:r>
      <w:r>
        <w:rPr>
          <w:rFonts w:ascii="Consolas" w:hAnsi="Consolas"/>
        </w:rPr>
        <w:t xml:space="preserve">                               │ opcional (versão com rascunho)</w:t>
      </w:r>
      <w:r>
        <w:br/>
      </w:r>
      <w:r>
        <w:rPr>
          <w:rFonts w:ascii="Consolas" w:hAnsi="Consolas"/>
        </w:rPr>
        <w:t xml:space="preserve">                               ▼</w:t>
      </w:r>
      <w:r>
        <w:br/>
      </w:r>
      <w:r>
        <w:rPr>
          <w:rFonts w:ascii="Consolas" w:hAnsi="Consolas"/>
        </w:rPr>
        <w:t xml:space="preserve">                    [ Rascunho só no navegador — expira em 24 h ]</w:t>
      </w:r>
    </w:p>
    <w:p>
      <w:pPr>
        <w:pStyle w:val="Heading1"/>
      </w:pPr>
      <w:r>
        <w:t>Impacto na privacidade (RIPD)</w:t>
      </w:r>
    </w:p>
    <w:p>
      <w:r>
        <w:t>Referência: Lei nº 13.709/2018 (LGPD), arts. 38 e seguintes. Modelo alinhado ao relatório corporativo de referência, passível de complementação pelo DPO.</w:t>
      </w:r>
    </w:p>
    <w:p>
      <w:pPr>
        <w:pStyle w:val="Heading2"/>
      </w:pPr>
      <w:r>
        <w:t>1. Descrição</w:t>
      </w:r>
    </w:p>
    <w:p>
      <w:r>
        <w:t>Ferramenta de geração de PDF com</w:t>
      </w:r>
      <w:r>
        <w:rPr>
          <w:b/>
        </w:rPr>
        <w:t xml:space="preserve"> processamento local no navegador</w:t>
      </w:r>
      <w:r>
        <w:t>, destinada ao uso interno para suporte aos formulários de admissão e assistência médica conforme versões implantadas.</w:t>
      </w:r>
    </w:p>
    <w:p>
      <w:pPr>
        <w:pStyle w:val="Heading2"/>
      </w:pPr>
      <w:r>
        <w:t>2. Natureza do Tratamento</w:t>
      </w:r>
    </w:p>
    <w:p>
      <w:pPr>
        <w:pStyle w:val="ListBullet"/>
      </w:pPr>
      <w:r>
        <w:t>Dados inseridos voluntariamente pelo usuário nos formulários;</w:t>
      </w:r>
    </w:p>
    <w:p>
      <w:pPr>
        <w:pStyle w:val="ListBullet"/>
      </w:pPr>
      <w:r>
        <w:t>Processamento temporário em memória durante preenchimento e geração do PDF;</w:t>
      </w:r>
    </w:p>
    <w:p>
      <w:pPr>
        <w:pStyle w:val="ListBullet"/>
      </w:pPr>
      <w:r>
        <w:rPr>
          <w:b/>
        </w:rPr>
        <w:t>Ausência de armazenamento centralizado</w:t>
      </w:r>
      <w:r>
        <w:t xml:space="preserve"> dos dados do formulário em servidores desta aplicação;</w:t>
      </w:r>
    </w:p>
    <w:p>
      <w:pPr>
        <w:pStyle w:val="ListBullet"/>
      </w:pPr>
      <w:r>
        <w:t>Opcionalmente,</w:t>
      </w:r>
      <w:r>
        <w:rPr>
          <w:b/>
        </w:rPr>
        <w:t xml:space="preserve"> rascunho apenas no navegador</w:t>
      </w:r>
      <w:r>
        <w:t xml:space="preserve"> (quando a versão assim previr), com função de descarte pelo usuário e</w:t>
      </w:r>
      <w:r>
        <w:rPr>
          <w:b/>
        </w:rPr>
        <w:t xml:space="preserve"> expiração automática 24 horas após o último salvamento</w:t>
      </w:r>
      <w:r>
        <w:t>, sem retenção indefinida.</w:t>
      </w:r>
    </w:p>
    <w:p>
      <w:pPr>
        <w:pStyle w:val="Heading2"/>
      </w:pPr>
      <w:r>
        <w:t>3. Riscos Identificados</w:t>
      </w:r>
    </w:p>
    <w:tbl>
      <w:tblPr>
        <w:tblStyle w:val="TableGrid"/>
        <w:tblW w:type="auto" w:w="0"/>
        <w:tblLook w:firstColumn="1" w:firstRow="1" w:lastColumn="0" w:lastRow="0" w:noHBand="0" w:noVBand="1" w:val="04A0"/>
      </w:tblPr>
      <w:tblGrid>
        <w:gridCol w:w="4320"/>
        <w:gridCol w:w="4320"/>
      </w:tblGrid>
      <w:tr>
        <w:tc>
          <w:tcPr>
            <w:tcW w:type="dxa" w:w="4320"/>
          </w:tcPr>
          <w:p>
            <w:r>
              <w:rPr>
                <w:b/>
              </w:rPr>
              <w:t>Risco</w:t>
            </w:r>
          </w:p>
        </w:tc>
        <w:tc>
          <w:tcPr>
            <w:tcW w:type="dxa" w:w="4320"/>
          </w:tcPr>
          <w:p>
            <w:r>
              <w:rPr>
                <w:b/>
              </w:rPr>
              <w:t>Descrição</w:t>
            </w:r>
          </w:p>
        </w:tc>
      </w:tr>
      <w:tr>
        <w:tc>
          <w:tcPr>
            <w:tcW w:type="dxa" w:w="4320"/>
          </w:tcPr>
          <w:p>
            <w:r>
              <w:t>Exposição local</w:t>
            </w:r>
          </w:p>
        </w:tc>
        <w:tc>
          <w:tcPr>
            <w:tcW w:type="dxa" w:w="4320"/>
          </w:tcPr>
          <w:p>
            <w:r>
              <w:t>PDF ou sessão em dispositivo partilhado ou comprometido</w:t>
            </w:r>
          </w:p>
        </w:tc>
      </w:tr>
      <w:tr>
        <w:tc>
          <w:tcPr>
            <w:tcW w:type="dxa" w:w="4320"/>
          </w:tcPr>
          <w:p>
            <w:r>
              <w:t>Uso indevido</w:t>
            </w:r>
          </w:p>
        </w:tc>
        <w:tc>
          <w:tcPr>
            <w:tcW w:type="dxa" w:w="4320"/>
          </w:tcPr>
          <w:p>
            <w:r>
              <w:t>Informações falsas ou utilização contra políticas internas</w:t>
            </w:r>
          </w:p>
        </w:tc>
      </w:tr>
      <w:tr>
        <w:tc>
          <w:tcPr>
            <w:tcW w:type="dxa" w:w="4320"/>
          </w:tcPr>
          <w:p>
            <w:r>
              <w:t>Integridade da entrega</w:t>
            </w:r>
          </w:p>
        </w:tc>
        <w:tc>
          <w:tcPr>
            <w:tcW w:type="dxa" w:w="4320"/>
          </w:tcPr>
          <w:p>
            <w:r>
              <w:t>Alteração maliciosa dos artefatos estáticos ou cadência de deploy</w:t>
            </w:r>
          </w:p>
        </w:tc>
      </w:tr>
      <w:tr>
        <w:tc>
          <w:tcPr>
            <w:tcW w:type="dxa" w:w="4320"/>
          </w:tcPr>
          <w:p>
            <w:r>
              <w:t>Dependências</w:t>
            </w:r>
          </w:p>
        </w:tc>
        <w:tc>
          <w:tcPr>
            <w:tcW w:type="dxa" w:w="4320"/>
          </w:tcPr>
          <w:p>
            <w:r>
              <w:t>Vulnerabilidades em bibliotecas JS de terceiros</w:t>
            </w:r>
          </w:p>
        </w:tc>
      </w:tr>
      <w:tr>
        <w:tc>
          <w:tcPr>
            <w:tcW w:type="dxa" w:w="4320"/>
          </w:tcPr>
          <w:p>
            <w:r>
              <w:t>Transmissão a serviços externos (CEP/município/IP)</w:t>
            </w:r>
          </w:p>
        </w:tc>
        <w:tc>
          <w:tcPr>
            <w:tcW w:type="dxa" w:w="4320"/>
          </w:tcPr>
          <w:p>
            <w:r>
              <w:t>ViaCEP e BrasilAPI recebem o CEP para consulta de endereço; api.kstrtech.com.br recebe a UF para listar municípios; api.ipify.org identifica o IP público de origem e o retorna como evidência técnica. Todos recebem o IP de origem e metadados técnicos da requisição. Há risco inerente de acesso, registro ou retenção desses dados pelos provedores conforme suas políticas; o IP é dado pessoal. Risco inerente médio; residual baixo a médio, sujeito à validação dos provedores, após HTTPS, minimização e ausência de envio do formulário completo ou PDF.</w:t>
            </w:r>
          </w:p>
        </w:tc>
      </w:tr>
    </w:tbl>
    <w:p/>
    <w:p>
      <w:pPr>
        <w:pStyle w:val="Heading2"/>
      </w:pPr>
      <w:r>
        <w:t>4. Medidas de Mitigação</w:t>
      </w:r>
    </w:p>
    <w:p>
      <w:pPr>
        <w:pStyle w:val="ListBullet"/>
      </w:pPr>
      <w:r>
        <w:rPr>
          <w:b/>
        </w:rPr>
        <w:t>Não persistência central</w:t>
      </w:r>
      <w:r>
        <w:t xml:space="preserve"> nos termos da arquitetura atual da ferramenta;</w:t>
      </w:r>
    </w:p>
    <w:p>
      <w:pPr>
        <w:pStyle w:val="ListBullet"/>
      </w:pPr>
      <w:r>
        <w:t>Processamento local para geração do PDF;</w:t>
      </w:r>
    </w:p>
    <w:p>
      <w:pPr>
        <w:pStyle w:val="ListBullet"/>
      </w:pPr>
      <w:r>
        <w:t>Uso de</w:t>
      </w:r>
      <w:r>
        <w:rPr>
          <w:b/>
        </w:rPr>
        <w:t xml:space="preserve"> HTTPS</w:t>
      </w:r>
      <w:r>
        <w:t xml:space="preserve"> em produção;</w:t>
      </w:r>
    </w:p>
    <w:p>
      <w:pPr>
        <w:pStyle w:val="ListBullet"/>
      </w:pPr>
      <w:r>
        <w:t>Limitação das chamadas externas a CEP, UF ou IP, sem envio do formulário completo ou PDF; identificação dos provedores, finalidades e dados no fluxo e no inventário ROPA, com retenção e condições de tratamento submetidas à revisão do DPO/Jurídico;</w:t>
      </w:r>
    </w:p>
    <w:p>
      <w:pPr>
        <w:pStyle w:val="ListBullet"/>
      </w:pPr>
      <w:r>
        <w:t>Baseline de segurança e gestão de dependências (</w:t>
      </w:r>
      <w:r>
        <w:t>Baseline de segurança</w:t>
      </w:r>
      <w:r>
        <w:t>);</w:t>
      </w:r>
    </w:p>
    <w:p>
      <w:pPr>
        <w:pStyle w:val="ListBullet"/>
      </w:pPr>
      <w:r>
        <w:t>Comunicações na UI (ex.: decisões LGPD na geração do PDF);</w:t>
      </w:r>
    </w:p>
    <w:p>
      <w:pPr>
        <w:pStyle w:val="ListBullet"/>
      </w:pPr>
      <w:r>
        <w:t>Função de</w:t>
      </w:r>
      <w:r>
        <w:rPr>
          <w:b/>
        </w:rPr>
        <w:t xml:space="preserve"> descarte de rascunho</w:t>
      </w:r>
      <w:r>
        <w:t xml:space="preserve"> e</w:t>
      </w:r>
      <w:r>
        <w:rPr>
          <w:b/>
        </w:rPr>
        <w:t xml:space="preserve"> expiração automática</w:t>
      </w:r>
      <w:r>
        <w:t xml:space="preserve"> (24 horas após o último salvamento, sem retenção indefinida, com modal de decisão limitado a apagar agora ou manter por 24 horas) quando aplicável.</w:t>
      </w:r>
    </w:p>
    <w:p>
      <w:pPr>
        <w:pStyle w:val="Heading2"/>
      </w:pPr>
      <w:r>
        <w:t>5. Avaliação de risco</w:t>
      </w:r>
    </w:p>
    <w:p>
      <w:r>
        <w:rPr>
          <w:b/>
        </w:rPr>
        <w:t>Risco BAIXO a MÉDIO-BAIXO</w:t>
      </w:r>
      <w:r>
        <w:t xml:space="preserve"> no que respeita a tratamentos remotos centralizados por esta app, considerando:</w:t>
      </w:r>
    </w:p>
    <w:p>
      <w:pPr>
        <w:pStyle w:val="ListBullet"/>
      </w:pPr>
      <w:r>
        <w:t>Não há retenção em bases de dados remotas operadas pela aplicação; os serviços externos podem processar ou registrar os dados mínimos das requisições conforme suas próprias políticas;</w:t>
      </w:r>
    </w:p>
    <w:p>
      <w:pPr>
        <w:pStyle w:val="ListBullet"/>
      </w:pPr>
      <w:r>
        <w:t>Há transmissão técnica limitada a ViaCEP, BrasilAPI,</w:t>
      </w:r>
      <w:r>
        <w:rPr>
          <w:rFonts w:ascii="Consolas" w:hAnsi="Consolas"/>
        </w:rPr>
        <w:t xml:space="preserve"> api.kstrtech.com.br</w:t>
      </w:r>
      <w:r>
        <w:t xml:space="preserve"> e</w:t>
      </w:r>
      <w:r>
        <w:rPr>
          <w:rFonts w:ascii="Consolas" w:hAnsi="Consolas"/>
        </w:rPr>
        <w:t xml:space="preserve"> api.ipify.org</w:t>
      </w:r>
      <w:r>
        <w:t>: CEP, UF e IP de origem conforme a funcionalidade, sem envio do formulário completo ou do PDF;</w:t>
      </w:r>
    </w:p>
    <w:p>
      <w:pPr>
        <w:pStyle w:val="ListBullet"/>
      </w:pPr>
      <w:r>
        <w:t>Tráfego obrigatório dos campos do formulário para servidores próprios da aplicação</w:t>
      </w:r>
      <w:r>
        <w:rPr>
          <w:b/>
        </w:rPr>
        <w:t xml:space="preserve"> não</w:t>
      </w:r>
      <w:r>
        <w:t xml:space="preserve"> faz parte do fluxo de conclusão do PDF.</w:t>
      </w:r>
    </w:p>
    <w:p>
      <w:r>
        <w:t>Riscos residuais concentram-se em</w:t>
      </w:r>
      <w:r>
        <w:rPr>
          <w:b/>
        </w:rPr>
        <w:t xml:space="preserve"> ambiente do usuário</w:t>
      </w:r>
      <w:r>
        <w:t>,</w:t>
      </w:r>
      <w:r>
        <w:rPr>
          <w:b/>
        </w:rPr>
        <w:t xml:space="preserve"> integridade do deploy</w:t>
      </w:r>
      <w:r>
        <w:t>,</w:t>
      </w:r>
      <w:r>
        <w:rPr>
          <w:b/>
        </w:rPr>
        <w:t xml:space="preserve"> cadeia de dependências</w:t>
      </w:r>
      <w:r>
        <w:t xml:space="preserve"> e eventual registro ou retenção por provedores externos — ver mitigações acima e validação pendente no ROPA.</w:t>
      </w:r>
    </w:p>
    <w:p>
      <w:pPr>
        <w:pStyle w:val="Heading2"/>
      </w:pPr>
      <w:r>
        <w:t>6. Conclusão</w:t>
      </w:r>
    </w:p>
    <w:p>
      <w:r>
        <w:t>A solução, adequadamente documentada e operada, tende a ser compatível com os princípios da LGPD:</w:t>
      </w:r>
    </w:p>
    <w:p>
      <w:pPr>
        <w:pStyle w:val="ListBullet"/>
      </w:pPr>
      <w:r>
        <w:t>Necessidade</w:t>
      </w:r>
    </w:p>
    <w:p>
      <w:pPr>
        <w:pStyle w:val="ListBullet"/>
      </w:pPr>
      <w:r>
        <w:t>Minimização</w:t>
      </w:r>
    </w:p>
    <w:p>
      <w:pPr>
        <w:pStyle w:val="ListBullet"/>
      </w:pPr>
      <w:r>
        <w:t>Segurança</w:t>
      </w:r>
    </w:p>
    <w:p>
      <w:pPr>
        <w:pStyle w:val="ListBullet"/>
      </w:pPr>
      <w:r>
        <w:t>Prevenção</w:t>
      </w:r>
    </w:p>
    <w:p>
      <w:r>
        <w:t>Homologação final compete ao</w:t>
      </w:r>
      <w:r>
        <w:rPr>
          <w:b/>
        </w:rPr>
        <w:t xml:space="preserve"> DPO</w:t>
      </w:r>
      <w:r>
        <w:t xml:space="preserve"> e áreas envolvidas após preenchimento de dados identificação do tratamento, bases legais completas no ROPA e revisões periódicas.</w:t>
      </w:r>
    </w:p>
    <w:p>
      <w:pPr>
        <w:pStyle w:val="Heading2"/>
      </w:pPr>
      <w:r>
        <w:t>7. Histórico de revisão</w:t>
      </w:r>
    </w:p>
    <w:p>
      <w:r>
        <w:t>O guia das principais atualizações dos formulários e da documentação de privacidade (linguagem orientada ao utilizador, sem detalhes técnicos internos) está disponível para download:</w:t>
      </w:r>
    </w:p>
    <w:p>
      <w:r>
        <w:t xml:space="preserve"> Baixar guia de atualizações</w:t>
      </w:r>
    </w:p>
    <w:p>
      <w:pPr>
        <w:pStyle w:val="Heading1"/>
      </w:pPr>
      <w:r>
        <w:t>Segurança da plataforma</w:t>
      </w:r>
    </w:p>
    <w:p>
      <w:pPr>
        <w:pStyle w:val="Heading2"/>
      </w:pPr>
      <w:r>
        <w:t>Arquitetura</w:t>
      </w:r>
    </w:p>
    <w:p>
      <w:pPr>
        <w:pStyle w:val="ListBullet"/>
      </w:pPr>
      <w:r>
        <w:t>Aplicação</w:t>
      </w:r>
      <w:r>
        <w:rPr>
          <w:b/>
        </w:rPr>
        <w:t xml:space="preserve"> 100% client-side</w:t>
      </w:r>
      <w:r>
        <w:t xml:space="preserve"> para preenchimento e geração de PDF;</w:t>
      </w:r>
    </w:p>
    <w:p>
      <w:pPr>
        <w:pStyle w:val="ListBullet"/>
      </w:pPr>
      <w:r>
        <w:rPr>
          <w:b/>
        </w:rPr>
        <w:t>Zero persistência centralizada</w:t>
      </w:r>
      <w:r>
        <w:t xml:space="preserve"> dos dados do formulário em servidores desta solução;</w:t>
      </w:r>
    </w:p>
    <w:p>
      <w:pPr>
        <w:pStyle w:val="ListBullet"/>
      </w:pPr>
      <w:r>
        <w:rPr>
          <w:b/>
        </w:rPr>
        <w:t>Zero transmissão obrigatória</w:t>
      </w:r>
      <w:r>
        <w:t xml:space="preserve"> dos dados pessoais preenchidos para APIs/backend proprietário desta aplicação para conclusão do PDF.</w:t>
      </w:r>
    </w:p>
    <w:p>
      <w:r>
        <w:rPr>
          <w:b/>
        </w:rPr>
        <w:t>Nota:</w:t>
      </w:r>
      <w:r>
        <w:t xml:space="preserve"> versões com</w:t>
      </w:r>
      <w:r>
        <w:rPr>
          <w:b/>
        </w:rPr>
        <w:t xml:space="preserve"> rascunho local</w:t>
      </w:r>
      <w:r>
        <w:t xml:space="preserve"> utilizam armazenamento no navegador do usuário — não constitui backend remoto da aplicação — com</w:t>
      </w:r>
      <w:r>
        <w:rPr>
          <w:b/>
        </w:rPr>
        <w:t xml:space="preserve"> descarte automático 24 horas após o último salvamento</w:t>
      </w:r>
      <w:r>
        <w:t>, sem opção de retenção indefinida, além do descarte manual pela função</w:t>
      </w:r>
      <w:r>
        <w:rPr>
          <w:b/>
        </w:rPr>
        <w:t xml:space="preserve"> Descartar rascunho</w:t>
      </w:r>
      <w:r>
        <w:t>. Política de uso desse recurso está em</w:t>
      </w:r>
      <w:r>
        <w:t xml:space="preserve"> Política de Privacidade</w:t>
      </w:r>
      <w:r>
        <w:t xml:space="preserve"> e</w:t>
      </w:r>
      <w:r>
        <w:t xml:space="preserve"> Fluxo de dados</w:t>
      </w:r>
      <w:r>
        <w:t>.</w:t>
      </w:r>
    </w:p>
    <w:p>
      <w:pPr>
        <w:pStyle w:val="Heading2"/>
      </w:pPr>
      <w:r>
        <w:t>Medidas Implementadas</w:t>
      </w:r>
    </w:p>
    <w:p>
      <w:pPr>
        <w:pStyle w:val="ListBullet"/>
      </w:pPr>
      <w:r>
        <w:rPr>
          <w:b/>
        </w:rPr>
        <w:t>HTTPS</w:t>
      </w:r>
      <w:r>
        <w:t xml:space="preserve"> obrigatório em produção (transporte cifrado);</w:t>
      </w:r>
    </w:p>
    <w:p>
      <w:pPr>
        <w:pStyle w:val="ListBullet"/>
      </w:pPr>
      <w:r>
        <w:t>Processamento local dos dados no fluxo de geração do PDF;</w:t>
      </w:r>
    </w:p>
    <w:p>
      <w:pPr>
        <w:pStyle w:val="ListBullet"/>
      </w:pPr>
      <w:r>
        <w:t>Descarte de dados da sessão conforme fluxos da aplicação após geração do arquivo;</w:t>
      </w:r>
    </w:p>
    <w:p>
      <w:pPr>
        <w:pStyle w:val="ListBullet"/>
      </w:pPr>
      <w:r>
        <w:rPr>
          <w:b/>
        </w:rPr>
        <w:t>Rascunho local controlado</w:t>
      </w:r>
      <w:r>
        <w:t>: quando ativo, permanece apenas no navegador do usuário, com</w:t>
      </w:r>
      <w:r>
        <w:rPr>
          <w:b/>
        </w:rPr>
        <w:t xml:space="preserve"> expiração máxima fixa de 24 horas</w:t>
      </w:r>
      <w:r>
        <w:t xml:space="preserve"> após o último salvamento (sem retenção indefinida), descarte manual disponível e modal de proteção de dados que oferece apenas manter por 24 horas ou apagar agora;</w:t>
      </w:r>
    </w:p>
    <w:p>
      <w:pPr>
        <w:pStyle w:val="ListBullet"/>
      </w:pPr>
      <w:r>
        <w:t>Ausência de envio dos campos do formulário para armazenamento remoto nos termos da arquitetura descrita;</w:t>
      </w:r>
    </w:p>
    <w:p>
      <w:pPr>
        <w:pStyle w:val="ListBullet"/>
      </w:pPr>
      <w:r>
        <w:rPr>
          <w:b/>
        </w:rPr>
        <w:t>Controle de acesso por chave</w:t>
      </w:r>
      <w:r>
        <w:t xml:space="preserve"> (quando ativo): verificação criptográfica client-side utilizando SHA-256 com salt próprio, sem exposição das chaves reais no código-fonte;</w:t>
      </w:r>
    </w:p>
    <w:p>
      <w:pPr>
        <w:pStyle w:val="ListBullet"/>
      </w:pPr>
      <w:r>
        <w:rPr>
          <w:b/>
        </w:rPr>
        <w:t>Sessão local:</w:t>
      </w:r>
      <w:r>
        <w:t xml:space="preserve"> token aleatório via</w:t>
      </w:r>
      <w:r>
        <w:rPr>
          <w:rFonts w:ascii="Consolas" w:hAnsi="Consolas"/>
        </w:rPr>
        <w:t xml:space="preserve"> crypto.getRandomValues()</w:t>
      </w:r>
      <w:r>
        <w:t xml:space="preserve"> armazenado em</w:t>
      </w:r>
      <w:r>
        <w:rPr>
          <w:rFonts w:ascii="Consolas" w:hAnsi="Consolas"/>
        </w:rPr>
        <w:t xml:space="preserve"> sessionStorage</w:t>
      </w:r>
      <w:r>
        <w:t xml:space="preserve"> com expiração configurável; limpeza automática ao fechar a aba;</w:t>
      </w:r>
    </w:p>
    <w:p>
      <w:pPr>
        <w:pStyle w:val="ListBullet"/>
      </w:pPr>
      <w:r>
        <w:rPr>
          <w:b/>
        </w:rPr>
        <w:t>Proteção de rotas:</w:t>
      </w:r>
      <w:r>
        <w:t xml:space="preserve"> páginas formulário protegidas por</w:t>
      </w:r>
      <w:r>
        <w:rPr>
          <w:rFonts w:ascii="Consolas" w:hAnsi="Consolas"/>
        </w:rPr>
        <w:t xml:space="preserve"> guard.js</w:t>
      </w:r>
      <w:r>
        <w:t xml:space="preserve"> que verifica a sessão antes de exibir o conteúdo.</w:t>
      </w:r>
    </w:p>
    <w:p>
      <w:pPr>
        <w:pStyle w:val="Heading2"/>
      </w:pPr>
      <w:r>
        <w:t>Restrições Técnicas (desenvolvimento e operação)</w:t>
      </w:r>
    </w:p>
    <w:p>
      <w:pPr>
        <w:pStyle w:val="ListBullet"/>
      </w:pPr>
      <w:r>
        <w:rPr>
          <w:b/>
        </w:rPr>
        <w:t>Não</w:t>
      </w:r>
      <w:r>
        <w:t xml:space="preserve"> utilizar</w:t>
      </w:r>
      <w:r>
        <w:rPr>
          <w:rFonts w:ascii="Consolas" w:hAnsi="Consolas"/>
        </w:rPr>
        <w:t xml:space="preserve"> localStorage</w:t>
      </w:r>
      <w:r>
        <w:t xml:space="preserve"> /</w:t>
      </w:r>
      <w:r>
        <w:rPr>
          <w:rFonts w:ascii="Consolas" w:hAnsi="Consolas"/>
        </w:rPr>
        <w:t xml:space="preserve"> sessionStorage</w:t>
      </w:r>
      <w:r>
        <w:t xml:space="preserve"> para fins não documentados ou além do escopo de rascunho aprovado (armazenamento local com expiração máxima fixa de 24 h, sem retenção indefinida, e descarte manual disponível);</w:t>
      </w:r>
    </w:p>
    <w:p>
      <w:pPr>
        <w:pStyle w:val="ListBullet"/>
      </w:pPr>
      <w:r>
        <w:rPr>
          <w:b/>
        </w:rPr>
        <w:t>Proibido</w:t>
      </w:r>
      <w:r>
        <w:t xml:space="preserve"> registrar em logs de aplicação conteúdo de formulários com dados pessoais ou dados sensíveis;</w:t>
      </w:r>
    </w:p>
    <w:p>
      <w:pPr>
        <w:pStyle w:val="ListBullet"/>
      </w:pPr>
      <w:r>
        <w:rPr>
          <w:b/>
        </w:rPr>
        <w:t>Proibido</w:t>
      </w:r>
      <w:r>
        <w:t xml:space="preserve"> integrar esta camada com APIs externas para</w:t>
      </w:r>
      <w:r>
        <w:rPr>
          <w:b/>
        </w:rPr>
        <w:t xml:space="preserve"> envio</w:t>
      </w:r>
      <w:r>
        <w:t xml:space="preserve"> dos dados preenchidos sem avaliação de impacto, contrato e base legal;</w:t>
      </w:r>
    </w:p>
    <w:p>
      <w:pPr>
        <w:pStyle w:val="ListBullet"/>
      </w:pPr>
      <w:r>
        <w:t>Controle de alterações no repositório (pull requests revisados, permissões mínimas nos ambientes de CI/CD);</w:t>
      </w:r>
    </w:p>
    <w:p>
      <w:pPr>
        <w:pStyle w:val="ListBullet"/>
      </w:pPr>
      <w:r>
        <w:t>Chaves de acesso tratadas como</w:t>
      </w:r>
      <w:r>
        <w:rPr>
          <w:b/>
        </w:rPr>
        <w:t xml:space="preserve"> segredos de configuração</w:t>
      </w:r>
      <w:r>
        <w:t>; verificadores derivados (SHA-256 + salt) são os únicos elementos presentes no código-fonte;</w:t>
      </w:r>
    </w:p>
    <w:p>
      <w:pPr>
        <w:pStyle w:val="ListBullet"/>
      </w:pPr>
      <w:r>
        <w:t>Scripts de geração de verificadores e verificação de vazamento são mantidos fora do repositório (gitignored).</w:t>
      </w:r>
    </w:p>
    <w:p>
      <w:pPr>
        <w:pStyle w:val="Heading2"/>
      </w:pPr>
      <w:r>
        <w:t>Proteção de Acesso (Client-Side)</w:t>
      </w:r>
    </w:p>
    <w:p>
      <w:r>
        <w:t>Quando ativo, o sistema de proteção funciona exclusivamente no navegador:</w:t>
      </w:r>
    </w:p>
    <w:p>
      <w:pPr>
        <w:pStyle w:val="ListBullet"/>
      </w:pPr>
      <w:r>
        <w:rPr>
          <w:b/>
        </w:rPr>
        <w:t>Algoritmo:</w:t>
      </w:r>
      <w:r>
        <w:t xml:space="preserve"> normalização da entrada → concatenação com salt → SHA-256 → transformação determinística (bit reversal, XOR, swap) → comparação com verificador armazenado;</w:t>
      </w:r>
    </w:p>
    <w:p>
      <w:pPr>
        <w:pStyle w:val="ListBullet"/>
      </w:pPr>
      <w:r>
        <w:rPr>
          <w:b/>
        </w:rPr>
        <w:t>Sessão:</w:t>
      </w:r>
      <w:r>
        <w:t xml:space="preserve"> token aleatório gerado via Web Crypto API, expiração configurável (padrão: 60 min), refresh automático em cada navegação/interação;</w:t>
      </w:r>
    </w:p>
    <w:p>
      <w:pPr>
        <w:pStyle w:val="ListBullet"/>
      </w:pPr>
      <w:r>
        <w:rPr>
          <w:b/>
        </w:rPr>
        <w:t>Armazenamento:</w:t>
      </w:r>
      <w:r>
        <w:t xml:space="preserve"> apenas</w:t>
      </w:r>
      <w:r>
        <w:rPr>
          <w:rFonts w:ascii="Consolas" w:hAnsi="Consolas"/>
        </w:rPr>
        <w:t xml:space="preserve"> sessionStorage</w:t>
      </w:r>
      <w:r>
        <w:t xml:space="preserve"> (token + timestamp + path); a chave original nunca é armazenada;</w:t>
      </w:r>
    </w:p>
    <w:p>
      <w:pPr>
        <w:pStyle w:val="ListBullet"/>
      </w:pPr>
      <w:r>
        <w:rPr>
          <w:b/>
        </w:rPr>
        <w:t>Limitação:</w:t>
      </w:r>
      <w:r>
        <w:t xml:space="preserve"> proteção client-side contra acesso casual; não substitui autenticação server-side.</w:t>
      </w:r>
    </w:p>
    <w:p>
      <w:pPr>
        <w:pStyle w:val="Heading2"/>
      </w:pPr>
      <w:r>
        <w:t>Camada de Entrega</w:t>
      </w:r>
    </w:p>
    <w:tbl>
      <w:tblPr>
        <w:tblStyle w:val="TableGrid"/>
        <w:tblW w:type="auto" w:w="0"/>
        <w:tblLook w:firstColumn="1" w:firstRow="1" w:lastColumn="0" w:lastRow="0" w:noHBand="0" w:noVBand="1" w:val="04A0"/>
      </w:tblPr>
      <w:tblGrid>
        <w:gridCol w:w="4320"/>
        <w:gridCol w:w="4320"/>
      </w:tblGrid>
      <w:tr>
        <w:tc>
          <w:tcPr>
            <w:tcW w:type="dxa" w:w="4320"/>
          </w:tcPr>
          <w:p>
            <w:r>
              <w:rPr>
                <w:b/>
              </w:rPr>
              <w:t>Área</w:t>
            </w:r>
          </w:p>
        </w:tc>
        <w:tc>
          <w:tcPr>
            <w:tcW w:type="dxa" w:w="4320"/>
          </w:tcPr>
          <w:p>
            <w:r>
              <w:rPr>
                <w:b/>
              </w:rPr>
              <w:t>Expectativa</w:t>
            </w:r>
          </w:p>
        </w:tc>
      </w:tr>
      <w:tr>
        <w:tc>
          <w:tcPr>
            <w:tcW w:type="dxa" w:w="4320"/>
          </w:tcPr>
          <w:p>
            <w:r>
              <w:t>Repositório</w:t>
            </w:r>
          </w:p>
        </w:tc>
        <w:tc>
          <w:tcPr>
            <w:tcW w:type="dxa" w:w="4320"/>
          </w:tcPr>
          <w:p>
            <w:r>
              <w:t>Apenas pessoas autorizadas; branch protection quando aplicável</w:t>
            </w:r>
          </w:p>
        </w:tc>
      </w:tr>
      <w:tr>
        <w:tc>
          <w:tcPr>
            <w:tcW w:type="dxa" w:w="4320"/>
          </w:tcPr>
          <w:p>
            <w:r>
              <w:t>Build/deploy</w:t>
            </w:r>
          </w:p>
        </w:tc>
        <w:tc>
          <w:tcPr>
            <w:tcW w:type="dxa" w:w="4320"/>
          </w:tcPr>
          <w:p>
            <w:r>
              <w:t>Pipeline auditável; artefatos verificáveis</w:t>
            </w:r>
          </w:p>
        </w:tc>
      </w:tr>
      <w:tr>
        <w:tc>
          <w:tcPr>
            <w:tcW w:type="dxa" w:w="4320"/>
          </w:tcPr>
          <w:p>
            <w:r>
              <w:t>Dependências</w:t>
            </w:r>
          </w:p>
        </w:tc>
        <w:tc>
          <w:tcPr>
            <w:tcW w:type="dxa" w:w="4320"/>
          </w:tcPr>
          <w:p>
            <w:r>
              <w:t>Inventário das bibliotecas JS (PDF, etc.); plano de atualização por CVE</w:t>
            </w:r>
          </w:p>
        </w:tc>
      </w:tr>
      <w:tr>
        <w:tc>
          <w:tcPr>
            <w:tcW w:type="dxa" w:w="4320"/>
          </w:tcPr>
          <w:p>
            <w:r>
              <w:t>Hospedagem</w:t>
            </w:r>
          </w:p>
        </w:tc>
        <w:tc>
          <w:tcPr>
            <w:tcW w:type="dxa" w:w="4320"/>
          </w:tcPr>
          <w:p>
            <w:r>
              <w:t>HTTPS; eventual CDN/WAF conforme política corporativa</w:t>
            </w:r>
          </w:p>
        </w:tc>
      </w:tr>
    </w:tbl>
    <w:p/>
    <w:p>
      <w:pPr>
        <w:pStyle w:val="Heading2"/>
      </w:pPr>
      <w:r>
        <w:t>Risco Residual</w:t>
      </w:r>
    </w:p>
    <w:p>
      <w:r>
        <w:rPr>
          <w:b/>
        </w:rPr>
        <w:t>Baixo</w:t>
      </w:r>
      <w:r>
        <w:t xml:space="preserve"> no que respeita a exposição por armazenamento central nesta aplicação ou por transmissão obrigatória dos formulários para servidores da ferramenta — dados sob responsabilidade direta do usuário após download do PDF e, quando ativo, rascunho apenas local.</w:t>
      </w:r>
    </w:p>
    <w:p>
      <w:r>
        <w:t>Riscos remanescentes incluem: uso de equipamento comprometido, partilha de sessão em terminal público, ou alteração maliciosa dos ficheiros estáticos servidos — mitigados por controles de CI/CD, HTTPS e resposta a incidentes (</w:t>
      </w:r>
      <w:r>
        <w:t>Plano de resposta a incidentes</w:t>
      </w:r>
      <w:r>
        <w:t>).</w:t>
      </w:r>
    </w:p>
    <w:p>
      <w:pPr>
        <w:pStyle w:val="Heading2"/>
      </w:pPr>
      <w:r>
        <w:t>Revisão</w:t>
      </w:r>
    </w:p>
    <w:p>
      <w:r>
        <w:t>Revisar esta baseline quando houver mudança de hospedagem, dependências críticas ou novos fluxos de dados.</w:t>
      </w:r>
    </w:p>
    <w:p>
      <w:pPr>
        <w:pStyle w:val="Heading1"/>
      </w:pPr>
      <w:r>
        <w:t>Resposta a incidentes</w:t>
      </w:r>
    </w:p>
    <w:p>
      <w:r>
        <w:t>Documento alinhado ao modelo corporativo de referência, estruturado para integração com Segurança da Informação e Privacidade (LGPD).</w:t>
      </w:r>
    </w:p>
    <w:p>
      <w:pPr>
        <w:pStyle w:val="Heading2"/>
      </w:pPr>
      <w:r>
        <w:t>1. Possíveis incidentes (exemplos)</w:t>
      </w:r>
    </w:p>
    <w:p>
      <w:pPr>
        <w:pStyle w:val="ListBullet"/>
      </w:pPr>
      <w:r>
        <w:rPr>
          <w:b/>
        </w:rPr>
        <w:t>Integridade da aplicação:</w:t>
      </w:r>
      <w:r>
        <w:t xml:space="preserve"> alteração não autorizada dos ficheiros estáticos ou do repositório (supply chain / deploy);</w:t>
      </w:r>
    </w:p>
    <w:p>
      <w:pPr>
        <w:pStyle w:val="ListBullet"/>
      </w:pPr>
      <w:r>
        <w:rPr>
          <w:b/>
        </w:rPr>
        <w:t>Disponibilidade:</w:t>
      </w:r>
      <w:r>
        <w:t xml:space="preserve"> indisponibilidade prolongada da hospedagem ou CDN;</w:t>
      </w:r>
    </w:p>
    <w:p>
      <w:pPr>
        <w:pStyle w:val="ListBullet"/>
      </w:pPr>
      <w:r>
        <w:rPr>
          <w:b/>
        </w:rPr>
        <w:t>Confidencialidade local:</w:t>
      </w:r>
      <w:r>
        <w:t xml:space="preserve"> vazamento ou exposição indevida relacionada ao</w:t>
      </w:r>
      <w:r>
        <w:rPr>
          <w:b/>
        </w:rPr>
        <w:t xml:space="preserve"> uso do browser ou do dispositivo</w:t>
      </w:r>
      <w:r>
        <w:t xml:space="preserve"> (PDF descarregado, equipamento partilhado, malware local);</w:t>
      </w:r>
    </w:p>
    <w:p>
      <w:pPr>
        <w:pStyle w:val="ListBullet"/>
      </w:pPr>
      <w:r>
        <w:rPr>
          <w:b/>
        </w:rPr>
        <w:t>Uso indevido:</w:t>
      </w:r>
      <w:r>
        <w:t xml:space="preserve"> utilização da plataforma contra políticas internas ou tentativa de abuso técnico.</w:t>
      </w:r>
    </w:p>
    <w:p>
      <w:pPr>
        <w:pStyle w:val="Heading2"/>
      </w:pPr>
      <w:r>
        <w:t>2. Classificação inicial</w:t>
      </w:r>
    </w:p>
    <w:tbl>
      <w:tblPr>
        <w:tblStyle w:val="TableGrid"/>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Descrição sumária</w:t>
            </w:r>
          </w:p>
        </w:tc>
      </w:tr>
      <w:tr>
        <w:tc>
          <w:tcPr>
            <w:tcW w:type="dxa" w:w="4320"/>
          </w:tcPr>
          <w:p>
            <w:r>
              <w:t>Alto</w:t>
            </w:r>
          </w:p>
        </w:tc>
        <w:tc>
          <w:tcPr>
            <w:tcW w:type="dxa" w:w="4320"/>
          </w:tcPr>
          <w:p>
            <w:r>
              <w:t>Comprometimento confirmado do que é servido aos utilizadores ou da cadeia de build</w:t>
            </w:r>
          </w:p>
        </w:tc>
      </w:tr>
      <w:tr>
        <w:tc>
          <w:tcPr>
            <w:tcW w:type="dxa" w:w="4320"/>
          </w:tcPr>
          <w:p>
            <w:r>
              <w:t>Médio</w:t>
            </w:r>
          </w:p>
        </w:tc>
        <w:tc>
          <w:tcPr>
            <w:tcW w:type="dxa" w:w="4320"/>
          </w:tcPr>
          <w:p>
            <w:r>
              <w:t>Indisponibilidade relevante ou suspeita de alteração ainda não confirmada</w:t>
            </w:r>
          </w:p>
        </w:tc>
      </w:tr>
      <w:tr>
        <w:tc>
          <w:tcPr>
            <w:tcW w:type="dxa" w:w="4320"/>
          </w:tcPr>
          <w:p>
            <w:r>
              <w:t>Baixo</w:t>
            </w:r>
          </w:p>
        </w:tc>
        <w:tc>
          <w:tcPr>
            <w:tcW w:type="dxa" w:w="4320"/>
          </w:tcPr>
          <w:p>
            <w:r>
              <w:t>Eventos limitados sem impacto direto em dados ou sem alteração de conteúdo</w:t>
            </w:r>
          </w:p>
        </w:tc>
      </w:tr>
    </w:tbl>
    <w:p/>
    <w:p>
      <w:pPr>
        <w:pStyle w:val="Heading2"/>
      </w:pPr>
      <w:r>
        <w:t>3. Ações (fluxo)</w:t>
      </w:r>
    </w:p>
    <w:p>
      <w:pPr>
        <w:pStyle w:val="ListNumber"/>
      </w:pPr>
      <w:r>
        <w:rPr>
          <w:b/>
        </w:rPr>
        <w:t>Identificação e registo</w:t>
      </w:r>
      <w:r>
        <w:t xml:space="preserve"> — abrir registo de incidente; preservar evidências (hashes, commits, logs de infraestrutura permitidos).</w:t>
      </w:r>
    </w:p>
    <w:p>
      <w:pPr>
        <w:pStyle w:val="ListNumber"/>
      </w:pPr>
      <w:r>
        <w:rPr>
          <w:b/>
        </w:rPr>
        <w:t>Contenção imediata</w:t>
      </w:r>
      <w:r>
        <w:t xml:space="preserve"> — revert deploy, desativar versão comprometida, invalidar cache se aplicável.</w:t>
      </w:r>
    </w:p>
    <w:p>
      <w:pPr>
        <w:pStyle w:val="ListNumber"/>
      </w:pPr>
      <w:r>
        <w:rPr>
          <w:b/>
        </w:rPr>
        <w:t>Investigação</w:t>
      </w:r>
      <w:r>
        <w:t xml:space="preserve"> — causa raiz, alcance temporal, dados afetados (se aplicável ao âmbito LGPD).</w:t>
      </w:r>
    </w:p>
    <w:p>
      <w:pPr>
        <w:pStyle w:val="ListNumber"/>
      </w:pPr>
      <w:r>
        <w:rPr>
          <w:b/>
        </w:rPr>
        <w:t>Correção e recuperação</w:t>
      </w:r>
      <w:r>
        <w:t xml:space="preserve"> — patch, novo deploy verificado, testes.</w:t>
      </w:r>
    </w:p>
    <w:p>
      <w:pPr>
        <w:pStyle w:val="ListNumber"/>
      </w:pPr>
      <w:r>
        <w:rPr>
          <w:b/>
        </w:rPr>
        <w:t>Comunicação</w:t>
      </w:r>
      <w:r>
        <w:t xml:space="preserve"> — stakeholders internos; avaliar comunicação a titulares e à ANPD com</w:t>
      </w:r>
      <w:r>
        <w:rPr>
          <w:b/>
        </w:rPr>
        <w:t xml:space="preserve"> Jurídico e DPO</w:t>
      </w:r>
      <w:r>
        <w:t xml:space="preserve"> quando houver dados pessoais afetados (LGPD).</w:t>
      </w:r>
    </w:p>
    <w:p>
      <w:pPr>
        <w:pStyle w:val="ListNumber"/>
      </w:pPr>
      <w:r>
        <w:rPr>
          <w:b/>
        </w:rPr>
        <w:t>Encerramento e melhoria</w:t>
      </w:r>
      <w:r>
        <w:t xml:space="preserve"> — atualizar</w:t>
      </w:r>
      <w:r>
        <w:t xml:space="preserve"> Baseline de segurança</w:t>
      </w:r>
      <w:r>
        <w:t>, checklist de deploy ou controles preventivos.</w:t>
      </w:r>
    </w:p>
    <w:p>
      <w:pPr>
        <w:pStyle w:val="Heading2"/>
      </w:pPr>
      <w:r>
        <w:t>4. Observação sobre impacto</w:t>
      </w:r>
    </w:p>
    <w:p>
      <w:r>
        <w:t>Na ausência de</w:t>
      </w:r>
      <w:r>
        <w:rPr>
          <w:b/>
        </w:rPr>
        <w:t xml:space="preserve"> base de dados centralizada nesta aplicação</w:t>
      </w:r>
      <w:r>
        <w:t xml:space="preserve"> para os formulários, muitos cenários concentram risco no</w:t>
      </w:r>
      <w:r>
        <w:rPr>
          <w:b/>
        </w:rPr>
        <w:t xml:space="preserve"> dispositivo do usuário</w:t>
      </w:r>
      <w:r>
        <w:t xml:space="preserve"> ou na</w:t>
      </w:r>
      <w:r>
        <w:rPr>
          <w:b/>
        </w:rPr>
        <w:t xml:space="preserve"> integridade do site estático</w:t>
      </w:r>
      <w:r>
        <w:t>. Mesmo assim, incidentes que envolvam dados pessoais (por exemplo divulgação indevisa por erro processual) devem seguir o programa de gestão de incidentes da organização.</w:t>
      </w:r>
    </w:p>
    <w:p>
      <w:pPr>
        <w:pStyle w:val="Heading2"/>
      </w:pPr>
      <w:r>
        <w:t>5. Responsabilidades</w:t>
      </w:r>
    </w:p>
    <w:tbl>
      <w:tblPr>
        <w:tblStyle w:val="TableGrid"/>
        <w:tblW w:type="auto" w:w="0"/>
        <w:tblLook w:firstColumn="1" w:firstRow="1" w:lastColumn="0" w:lastRow="0" w:noHBand="0" w:noVBand="1" w:val="04A0"/>
      </w:tblPr>
      <w:tblGrid>
        <w:gridCol w:w="4320"/>
        <w:gridCol w:w="4320"/>
      </w:tblGrid>
      <w:tr>
        <w:tc>
          <w:tcPr>
            <w:tcW w:type="dxa" w:w="4320"/>
          </w:tcPr>
          <w:p>
            <w:r>
              <w:rPr>
                <w:b/>
              </w:rPr>
              <w:t>Papel</w:t>
            </w:r>
          </w:p>
        </w:tc>
        <w:tc>
          <w:tcPr>
            <w:tcW w:type="dxa" w:w="4320"/>
          </w:tcPr>
          <w:p>
            <w:r>
              <w:rPr>
                <w:b/>
              </w:rPr>
              <w:t>Atuação típica</w:t>
            </w:r>
          </w:p>
        </w:tc>
      </w:tr>
      <w:tr>
        <w:tc>
          <w:tcPr>
            <w:tcW w:type="dxa" w:w="4320"/>
          </w:tcPr>
          <w:p>
            <w:r>
              <w:t>Segurança da Informação</w:t>
            </w:r>
          </w:p>
        </w:tc>
        <w:tc>
          <w:tcPr>
            <w:tcW w:type="dxa" w:w="4320"/>
          </w:tcPr>
          <w:p>
            <w:r>
              <w:t>Coordenação técnica e classificação</w:t>
            </w:r>
          </w:p>
        </w:tc>
      </w:tr>
      <w:tr>
        <w:tc>
          <w:tcPr>
            <w:tcW w:type="dxa" w:w="4320"/>
          </w:tcPr>
          <w:p>
            <w:r>
              <w:t>DPO / Privacidade</w:t>
            </w:r>
          </w:p>
        </w:tc>
        <w:tc>
          <w:tcPr>
            <w:tcW w:type="dxa" w:w="4320"/>
          </w:tcPr>
          <w:p>
            <w:r>
              <w:t>Avaliação LGPD e comunicações obrigatórias</w:t>
            </w:r>
          </w:p>
        </w:tc>
      </w:tr>
      <w:tr>
        <w:tc>
          <w:tcPr>
            <w:tcW w:type="dxa" w:w="4320"/>
          </w:tcPr>
          <w:p>
            <w:r>
              <w:t>TI</w:t>
            </w:r>
          </w:p>
        </w:tc>
        <w:tc>
          <w:tcPr>
            <w:tcW w:type="dxa" w:w="4320"/>
          </w:tcPr>
          <w:p>
            <w:r>
              <w:t>Infraestrutura, reversão de deploy, logs</w:t>
            </w:r>
          </w:p>
        </w:tc>
      </w:tr>
    </w:tbl>
    <w:p/>
    <w:p>
      <w:pPr>
        <w:pStyle w:val="Heading2"/>
      </w:pPr>
      <w:r>
        <w:t>6. Testes</w:t>
      </w:r>
    </w:p>
    <w:p>
      <w:r>
        <w:t>Realizar</w:t>
      </w:r>
      <w:r>
        <w:rPr>
          <w:b/>
        </w:rPr>
        <w:t xml:space="preserve"> simulacros ou tabletop exercises</w:t>
      </w:r>
      <w:r>
        <w:t xml:space="preserve"> periodicamente (definir cadência interna).</w:t>
      </w:r>
    </w:p>
    <w:p>
      <w:pPr>
        <w:pStyle w:val="Heading1"/>
      </w:pPr>
      <w:r>
        <w:t>Bases legais (LGPD)</w:t>
      </w:r>
    </w:p>
    <w:p>
      <w:pPr>
        <w:pStyle w:val="Heading2"/>
      </w:pPr>
      <w:r>
        <w:t>Fundamentação</w:t>
      </w:r>
    </w:p>
    <w:p>
      <w:r>
        <w:t>As bases legais são as correspondentes às atividades de tratamento já estabelecidas nas políticas corporativas</w:t>
      </w:r>
      <w:r>
        <w:rPr>
          <w:b/>
        </w:rPr>
        <w:t xml:space="preserve"> PO-026_04</w:t>
      </w:r>
      <w:r>
        <w:t xml:space="preserve"> (Funcionários) e</w:t>
      </w:r>
      <w:r>
        <w:rPr>
          <w:b/>
        </w:rPr>
        <w:t xml:space="preserve"> PO-027_04</w:t>
      </w:r>
      <w:r>
        <w:t xml:space="preserve"> (Candidatos) e nos registros de tratamento (ROPA) da Atento —</w:t>
      </w:r>
      <w:r>
        <w:rPr>
          <w:b/>
        </w:rPr>
        <w:t xml:space="preserve"> não havendo alteração da fundamentação jurídica exclusivamente em razão da utilização do Hub</w:t>
      </w:r>
      <w:r>
        <w:t>. Conforme cada situação, aplicam-se, por exemplo:</w:t>
      </w:r>
    </w:p>
    <w:p>
      <w:pPr>
        <w:pStyle w:val="ListBullet"/>
      </w:pPr>
      <w:r>
        <w:rPr>
          <w:b/>
        </w:rPr>
        <w:t>Procedimentos preliminares relacionados ao contrato de trabalho</w:t>
      </w:r>
      <w:r>
        <w:t xml:space="preserve"> (art. 7º, V, da Lei nº 13.709/2018) — etapas pré-contratuais e de admissão (PO-027_04);</w:t>
      </w:r>
    </w:p>
    <w:p>
      <w:pPr>
        <w:pStyle w:val="ListBullet"/>
      </w:pPr>
      <w:r>
        <w:rPr>
          <w:b/>
        </w:rPr>
        <w:t>Cumprimento de obrigação legal ou regulatória</w:t>
      </w:r>
      <w:r>
        <w:t xml:space="preserve"> (art. 7º, II) — obrigações trabalhistas, previdenciárias e tributárias;</w:t>
      </w:r>
    </w:p>
    <w:p>
      <w:pPr>
        <w:pStyle w:val="ListBullet"/>
      </w:pPr>
      <w:r>
        <w:rPr>
          <w:b/>
        </w:rPr>
        <w:t>Execução das obrigações relacionadas ao vínculo</w:t>
      </w:r>
      <w:r>
        <w:t xml:space="preserve"> (art. 7º, V) — administração do vínculo, pagamentos e benefícios (PO-026_04);</w:t>
      </w:r>
    </w:p>
    <w:p>
      <w:pPr>
        <w:pStyle w:val="ListBullet"/>
      </w:pPr>
      <w:r>
        <w:rPr>
          <w:b/>
        </w:rPr>
        <w:t>Exercício regular de direitos</w:t>
      </w:r>
      <w:r>
        <w:t xml:space="preserve"> (art. 7º, VI), quando aplicável.</w:t>
      </w:r>
    </w:p>
    <w:p>
      <w:r>
        <w:t>Para</w:t>
      </w:r>
      <w:r>
        <w:rPr>
          <w:b/>
        </w:rPr>
        <w:t xml:space="preserve"> dados pessoais sensíveis</w:t>
      </w:r>
      <w:r>
        <w:t xml:space="preserve"> (por exemplo, informações de saúde em adesão à assistência médica), observam-se as hipóteses específicas do art. 11 da Lei nº 13.709/2018. Tratamentos adicionais no âmbito organizacional (ex.: arquivo de admissão em sistemas corporativos</w:t>
      </w:r>
      <w:r>
        <w:rPr>
          <w:b/>
        </w:rPr>
        <w:t xml:space="preserve"> fora</w:t>
      </w:r>
      <w:r>
        <w:t xml:space="preserve"> desta aplicação client-side) constam do inventário de tratamentos (ROPA) com bases próprias.</w:t>
      </w:r>
    </w:p>
    <w:p>
      <w:r>
        <w:rPr>
          <w:b/>
        </w:rPr>
        <w:t>Consultas externas instrumentais:</w:t>
      </w:r>
      <w:r>
        <w:t xml:space="preserve"> ViaCEP e BrasilAPI recebem somente o CEP para consulta de endereço;</w:t>
      </w:r>
      <w:r>
        <w:rPr>
          <w:rFonts w:ascii="Consolas" w:hAnsi="Consolas"/>
        </w:rPr>
        <w:t xml:space="preserve"> api.kstrtech.com.br</w:t>
      </w:r>
      <w:r>
        <w:t xml:space="preserve"> recebe a UF para consulta de municípios. Quando necessárias ao preenchimento dos formulários de admissão e benefícios, essas consultas são meios auxiliares dos procedimentos pré-contratuais ou da execução da relação de trabalho, conforme aplicável (art. 7º, V); o art. 7º, II, aplica-se somente quando a consulta for necessária ao cumprimento de obrigação legal ou regulatória específica. Esses serviços não recebem os campos completos do formulário nem dados de saúde.</w:t>
      </w:r>
    </w:p>
    <w:p>
      <w:r>
        <w:rPr>
          <w:b/>
        </w:rPr>
        <w:t>IP como evidência técnica:</w:t>
      </w:r>
      <w:r>
        <w:rPr>
          <w:rFonts w:ascii="Consolas" w:hAnsi="Consolas"/>
        </w:rPr>
        <w:t xml:space="preserve"> api.ipify.org</w:t>
      </w:r>
      <w:r>
        <w:t xml:space="preserve"> identifica o IP público de origem da requisição e o retorna ao navegador para inclusão como evidência técnica no PDF. O IP é dado pessoal (art. 5º, I). O tratamento para documentar ou resguardar direitos poderá apoiar-se no exercício regular de direitos (art. 7º, VI) quando essa finalidade e necessidade estiverem demonstradas. A base aplicável, a necessidade de registrar o IP e o prazo de retenção devem ser confirmados pelo DPO/Jurídico e registrados no ROPA antes de tratar essa hipótese como aprovada; eventual uso de legítimo interesse exige avaliação própria, não presumida pelo uso da API.</w:t>
      </w:r>
    </w:p>
    <w:p>
      <w:pPr>
        <w:pStyle w:val="Heading2"/>
      </w:pPr>
      <w:r>
        <w:t>Justificativa</w:t>
      </w:r>
    </w:p>
    <w:p>
      <w:pPr>
        <w:pStyle w:val="ListBullet"/>
      </w:pPr>
      <w:r>
        <w:t>Usuário insere dados voluntariamente;</w:t>
      </w:r>
    </w:p>
    <w:p>
      <w:pPr>
        <w:pStyle w:val="ListBullet"/>
      </w:pPr>
      <w:r>
        <w:t>Dados usados para as finalidades de admissão, vínculo e benefícios (a composição local do PDF é funcionalidade de viabilização) e, quando existir, para manter</w:t>
      </w:r>
      <w:r>
        <w:rPr>
          <w:b/>
        </w:rPr>
        <w:t xml:space="preserve"> rascunho temporário</w:t>
      </w:r>
      <w:r>
        <w:t xml:space="preserve"> no próprio navegador — descartado automaticamente 24 horas após o último salvamento, sem retenção indefinida;</w:t>
      </w:r>
    </w:p>
    <w:p>
      <w:pPr>
        <w:pStyle w:val="ListBullet"/>
      </w:pPr>
      <w:r>
        <w:rPr>
          <w:b/>
        </w:rPr>
        <w:t>Não há</w:t>
      </w:r>
      <w:r>
        <w:t xml:space="preserve"> armazenamento centralizado dos dados do formulário nos servidores desta aplicação para fins descritos na Política de Privacidade aplicável à ferramenta web estática.</w:t>
      </w:r>
    </w:p>
    <w:p>
      <w:pPr>
        <w:pStyle w:val="Heading2"/>
      </w:pPr>
      <w:r>
        <w:t>Hipóteses adicionais (referência normativa)</w:t>
      </w:r>
    </w:p>
    <w:p>
      <w:r>
        <w:t>Conforme análise jurídica caso a caso, podem aplicar-se outras hipóteses do art. 7º ou, para dados sensíveis, do art. 11 da Lei nº 13.709/2018 — vide inventário corporativo (ROPA), políticas PO-026_04/PO-027_04 e parecer jurídico. O</w:t>
      </w:r>
      <w:r>
        <w:t xml:space="preserve"> Aviso de Privacidade — Hub Formulários RH</w:t>
      </w:r>
      <w:r>
        <w:t xml:space="preserve"> (§ 5) e a</w:t>
      </w:r>
      <w:r>
        <w:t xml:space="preserve"> Política de Privacidade</w:t>
      </w:r>
      <w:r>
        <w:t xml:space="preserve"> consolidam esse enquadramento; os fluxos de assistência médica podem envolver dados cuja base legal exige avaliação específica.</w:t>
      </w:r>
    </w:p>
    <w:p>
      <w:pPr>
        <w:pStyle w:val="Heading2"/>
      </w:pPr>
      <w:r>
        <w:t>Conclusão</w:t>
      </w:r>
    </w:p>
    <w:p>
      <w:r>
        <w:t>Tratamento</w:t>
      </w:r>
      <w:r>
        <w:rPr>
          <w:b/>
        </w:rPr>
        <w:t xml:space="preserve"> compatível com LGPD</w:t>
      </w:r>
      <w:r>
        <w:t xml:space="preserve"> quando observadas minimização, transparência (incluindo comunicações na própria aplicação), segurança conforme</w:t>
      </w:r>
      <w:r>
        <w:t xml:space="preserve"> Baseline de segurança</w:t>
      </w:r>
      <w:r>
        <w:t xml:space="preserve"> e governança em</w:t>
      </w:r>
      <w:r>
        <w:t xml:space="preserve"> Governança</w:t>
      </w:r>
      <w:r>
        <w:t>.</w:t>
      </w:r>
    </w:p>
    <w:p>
      <w:pPr>
        <w:pStyle w:val="Heading1"/>
      </w:pPr>
      <w:r>
        <w:t>Governança</w:t>
      </w:r>
    </w:p>
    <w:p>
      <w:pPr>
        <w:pStyle w:val="Heading2"/>
      </w:pPr>
      <w:r>
        <w:t>Princípios</w:t>
      </w:r>
    </w:p>
    <w:p>
      <w:pPr>
        <w:pStyle w:val="ListBullet"/>
      </w:pPr>
      <w:r>
        <w:rPr>
          <w:b/>
        </w:rPr>
        <w:t>Privacy by Design</w:t>
      </w:r>
      <w:r>
        <w:t xml:space="preserve"> — privacidade considerada desde o desenho da solução e dos processos;</w:t>
      </w:r>
    </w:p>
    <w:p>
      <w:pPr>
        <w:pStyle w:val="ListBullet"/>
      </w:pPr>
      <w:r>
        <w:rPr>
          <w:b/>
        </w:rPr>
        <w:t>Minimização de dados</w:t>
      </w:r>
      <w:r>
        <w:t xml:space="preserve"> — apenas o necessário ao preenchimento e à geração do PDF (e rascunho local temporário com expiração máxima fixa de 24 horas, sem retenção indefinida, quando existir, estritamente para esse fim);</w:t>
      </w:r>
    </w:p>
    <w:p>
      <w:pPr>
        <w:pStyle w:val="ListBullet"/>
      </w:pPr>
      <w:r>
        <w:rPr>
          <w:b/>
        </w:rPr>
        <w:t>Transparência</w:t>
      </w:r>
      <w:r>
        <w:t xml:space="preserve"> — políticas e comunicações na aplicação (</w:t>
      </w:r>
      <w:r>
        <w:t>Aviso de Privacidade</w:t>
      </w:r>
      <w:r>
        <w:t>,</w:t>
      </w:r>
      <w:r>
        <w:t xml:space="preserve"> Política de Privacidade</w:t>
      </w:r>
      <w:r>
        <w:t>, modais, termos).</w:t>
      </w:r>
    </w:p>
    <w:p>
      <w:pPr>
        <w:pStyle w:val="Heading2"/>
      </w:pPr>
      <w:r>
        <w:t>Diretrizes</w:t>
      </w:r>
    </w:p>
    <w:p>
      <w:pPr>
        <w:pStyle w:val="ListBullet"/>
      </w:pPr>
      <w:r>
        <w:t>Não coletar dados desnecessários para além dos campos dos formulários institucionais;</w:t>
      </w:r>
    </w:p>
    <w:p>
      <w:pPr>
        <w:pStyle w:val="ListBullet"/>
      </w:pPr>
      <w:r>
        <w:t>Não armazenar dados em</w:t>
      </w:r>
      <w:r>
        <w:rPr>
          <w:b/>
        </w:rPr>
        <w:t xml:space="preserve"> servidor desta aplicação</w:t>
      </w:r>
      <w:r>
        <w:t xml:space="preserve"> para fins de cadastro web centralizado dos formulários;</w:t>
      </w:r>
    </w:p>
    <w:p>
      <w:pPr>
        <w:pStyle w:val="ListBullet"/>
      </w:pPr>
      <w:r>
        <w:t>Garantir segurança no processamento conforme</w:t>
      </w:r>
      <w:r>
        <w:t xml:space="preserve"> Baseline de segurança</w:t>
      </w:r>
      <w:r>
        <w:t>;</w:t>
      </w:r>
    </w:p>
    <w:p>
      <w:pPr>
        <w:pStyle w:val="ListBullet"/>
      </w:pPr>
      <w:r>
        <w:t>Manter documentação em</w:t>
      </w:r>
      <w:r>
        <w:rPr>
          <w:rFonts w:ascii="Consolas" w:hAnsi="Consolas"/>
        </w:rPr>
        <w:t xml:space="preserve"> /Docs</w:t>
      </w:r>
      <w:r>
        <w:t xml:space="preserve"> alinhada à versão implantada da aplicação;</w:t>
      </w:r>
    </w:p>
    <w:p>
      <w:pPr>
        <w:pStyle w:val="ListBullet"/>
      </w:pPr>
      <w:r>
        <w:t>Coordenação entre</w:t>
      </w:r>
      <w:r>
        <w:rPr>
          <w:b/>
        </w:rPr>
        <w:t xml:space="preserve"> Privacidade (DPO)</w:t>
      </w:r>
      <w:r>
        <w:t>,</w:t>
      </w:r>
      <w:r>
        <w:rPr>
          <w:b/>
        </w:rPr>
        <w:t xml:space="preserve"> Jurídico</w:t>
      </w:r>
      <w:r>
        <w:t>,</w:t>
      </w:r>
      <w:r>
        <w:rPr>
          <w:b/>
        </w:rPr>
        <w:t xml:space="preserve"> Segurança da Informação</w:t>
      </w:r>
      <w:r>
        <w:t xml:space="preserve"> e</w:t>
      </w:r>
      <w:r>
        <w:rPr>
          <w:b/>
        </w:rPr>
        <w:t xml:space="preserve"> TI</w:t>
      </w:r>
      <w:r>
        <w:t xml:space="preserve"> para alterações que afetem dados pessoais ou risco.</w:t>
      </w:r>
    </w:p>
    <w:p>
      <w:pPr>
        <w:pStyle w:val="Heading2"/>
      </w:pPr>
      <w:r>
        <w:t>Papéis (resumo)</w:t>
      </w:r>
    </w:p>
    <w:tbl>
      <w:tblPr>
        <w:tblStyle w:val="TableGrid"/>
        <w:tblW w:type="auto" w:w="0"/>
        <w:tblLook w:firstColumn="1" w:firstRow="1" w:lastColumn="0" w:lastRow="0" w:noHBand="0" w:noVBand="1" w:val="04A0"/>
      </w:tblPr>
      <w:tblGrid>
        <w:gridCol w:w="4320"/>
        <w:gridCol w:w="4320"/>
      </w:tblGrid>
      <w:tr>
        <w:tc>
          <w:tcPr>
            <w:tcW w:type="dxa" w:w="4320"/>
          </w:tcPr>
          <w:p>
            <w:r>
              <w:rPr>
                <w:b/>
              </w:rPr>
              <w:t>Papel</w:t>
            </w:r>
          </w:p>
        </w:tc>
        <w:tc>
          <w:tcPr>
            <w:tcW w:type="dxa" w:w="4320"/>
          </w:tcPr>
          <w:p>
            <w:r>
              <w:rPr>
                <w:b/>
              </w:rPr>
              <w:t>Função</w:t>
            </w:r>
          </w:p>
        </w:tc>
      </w:tr>
      <w:tr>
        <w:tc>
          <w:tcPr>
            <w:tcW w:type="dxa" w:w="4320"/>
          </w:tcPr>
          <w:p>
            <w:r>
              <w:t>Responsável pelo tratamento</w:t>
            </w:r>
          </w:p>
        </w:tc>
        <w:tc>
          <w:tcPr>
            <w:tcW w:type="dxa" w:w="4320"/>
          </w:tcPr>
          <w:p>
            <w:r>
              <w:t>Definição das finalidades institucionais (corporativo)</w:t>
            </w:r>
          </w:p>
        </w:tc>
      </w:tr>
      <w:tr>
        <w:tc>
          <w:tcPr>
            <w:tcW w:type="dxa" w:w="4320"/>
          </w:tcPr>
          <w:p>
            <w:r>
              <w:t>DPO / Privacidade</w:t>
            </w:r>
          </w:p>
        </w:tc>
        <w:tc>
          <w:tcPr>
            <w:tcW w:type="dxa" w:w="4320"/>
          </w:tcPr>
          <w:p>
            <w:r>
              <w:t>Supervisão LGPD, interfaces com titulares e órgão fiscalizador</w:t>
            </w:r>
          </w:p>
        </w:tc>
      </w:tr>
      <w:tr>
        <w:tc>
          <w:tcPr>
            <w:tcW w:type="dxa" w:w="4320"/>
          </w:tcPr>
          <w:p>
            <w:r>
              <w:t>Jurídico</w:t>
            </w:r>
          </w:p>
        </w:tc>
        <w:tc>
          <w:tcPr>
            <w:tcW w:type="dxa" w:w="4320"/>
          </w:tcPr>
          <w:p>
            <w:r>
              <w:t>Validade de termos, bases legais e contratos</w:t>
            </w:r>
          </w:p>
        </w:tc>
      </w:tr>
      <w:tr>
        <w:tc>
          <w:tcPr>
            <w:tcW w:type="dxa" w:w="4320"/>
          </w:tcPr>
          <w:p>
            <w:r>
              <w:t>Segurança da Informação</w:t>
            </w:r>
          </w:p>
        </w:tc>
        <w:tc>
          <w:tcPr>
            <w:tcW w:type="dxa" w:w="4320"/>
          </w:tcPr>
          <w:p>
            <w:r>
              <w:t>Baseline, incidentes, exceções</w:t>
            </w:r>
          </w:p>
        </w:tc>
      </w:tr>
      <w:tr>
        <w:tc>
          <w:tcPr>
            <w:tcW w:type="dxa" w:w="4320"/>
          </w:tcPr>
          <w:p>
            <w:r>
              <w:t>TI / DevOps</w:t>
            </w:r>
          </w:p>
        </w:tc>
        <w:tc>
          <w:tcPr>
            <w:tcW w:type="dxa" w:w="4320"/>
          </w:tcPr>
          <w:p>
            <w:r>
              <w:t>Pipeline, hospedagem, permissões de repositório</w:t>
            </w:r>
          </w:p>
        </w:tc>
      </w:tr>
    </w:tbl>
    <w:p/>
    <w:p>
      <w:pPr>
        <w:pStyle w:val="Heading2"/>
      </w:pPr>
      <w:r>
        <w:t>Revisões</w:t>
      </w:r>
    </w:p>
    <w:p>
      <w:pPr>
        <w:pStyle w:val="ListBullet"/>
      </w:pPr>
      <w:r>
        <w:t>Documentação revisada</w:t>
      </w:r>
      <w:r>
        <w:rPr>
          <w:b/>
        </w:rPr>
        <w:t xml:space="preserve"> periodicamente</w:t>
      </w:r>
      <w:r>
        <w:t xml:space="preserve"> e</w:t>
      </w:r>
      <w:r>
        <w:rPr>
          <w:b/>
        </w:rPr>
        <w:t xml:space="preserve"> ad hoc</w:t>
      </w:r>
      <w:r>
        <w:t xml:space="preserve"> quando houver:</w:t>
      </w:r>
    </w:p>
    <w:p>
      <w:pPr>
        <w:pStyle w:val="ListBullet2"/>
      </w:pPr>
      <w:r>
        <w:t>nova versão da aplicação com mudança de fluxo de dados;</w:t>
      </w:r>
    </w:p>
    <w:p>
      <w:pPr>
        <w:pStyle w:val="ListBullet2"/>
      </w:pPr>
      <w:r>
        <w:t>alteração legal ou orientação da ANPD;</w:t>
      </w:r>
    </w:p>
    <w:p>
      <w:pPr>
        <w:pStyle w:val="ListBullet2"/>
      </w:pPr>
      <w:r>
        <w:t>incidente com lições aprendidas relevantes.</w:t>
      </w:r>
    </w:p>
    <w:p>
      <w:r>
        <w:t>Registar datas de aprovação nas versões dos documentos ou em registo interno de governança.</w:t>
      </w:r>
    </w:p>
    <w:p>
      <w:pPr>
        <w:pStyle w:val="Heading2"/>
      </w:pPr>
      <w:r>
        <w:t>Documentação de referência</w:t>
      </w:r>
    </w:p>
    <w:tbl>
      <w:tblPr>
        <w:tblStyle w:val="TableGrid"/>
        <w:tblW w:type="auto" w:w="0"/>
        <w:tblLook w:firstColumn="1" w:firstRow="1" w:lastColumn="0" w:lastRow="0" w:noHBand="0" w:noVBand="1" w:val="04A0"/>
      </w:tblPr>
      <w:tblGrid>
        <w:gridCol w:w="4320"/>
        <w:gridCol w:w="4320"/>
      </w:tblGrid>
      <w:tr>
        <w:tc>
          <w:tcPr>
            <w:tcW w:type="dxa" w:w="4320"/>
          </w:tcPr>
          <w:p>
            <w:r>
              <w:rPr>
                <w:b/>
              </w:rPr>
              <w:t>Documento</w:t>
            </w:r>
          </w:p>
        </w:tc>
        <w:tc>
          <w:tcPr>
            <w:tcW w:type="dxa" w:w="4320"/>
          </w:tcPr>
          <w:p>
            <w:r>
              <w:rPr>
                <w:b/>
              </w:rPr>
              <w:t>Uso</w:t>
            </w:r>
          </w:p>
        </w:tc>
      </w:tr>
      <w:tr>
        <w:tc>
          <w:tcPr>
            <w:tcW w:type="dxa" w:w="4320"/>
          </w:tcPr>
          <w:p>
            <w:r>
              <w:t>Política de Privacidade</w:t>
            </w:r>
          </w:p>
        </w:tc>
        <w:tc>
          <w:tcPr>
            <w:tcW w:type="dxa" w:w="4320"/>
          </w:tcPr>
          <w:p>
            <w:r>
              <w:t>Transparência ao usuário/titular</w:t>
            </w:r>
          </w:p>
        </w:tc>
      </w:tr>
      <w:tr>
        <w:tc>
          <w:tcPr>
            <w:tcW w:type="dxa" w:w="4320"/>
          </w:tcPr>
          <w:p>
            <w:r>
              <w:t>Termos de Uso</w:t>
            </w:r>
          </w:p>
        </w:tc>
        <w:tc>
          <w:tcPr>
            <w:tcW w:type="dxa" w:w="4320"/>
          </w:tcPr>
          <w:p>
            <w:r>
              <w:t>Regras de uso da ferramenta</w:t>
            </w:r>
          </w:p>
        </w:tc>
      </w:tr>
      <w:tr>
        <w:tc>
          <w:tcPr>
            <w:tcW w:type="dxa" w:w="4320"/>
          </w:tcPr>
          <w:p>
            <w:r>
              <w:t>Fluxo de dados</w:t>
            </w:r>
          </w:p>
        </w:tc>
        <w:tc>
          <w:tcPr>
            <w:tcW w:type="dxa" w:w="4320"/>
          </w:tcPr>
          <w:p>
            <w:r>
              <w:t>Base técnica e RIPD</w:t>
            </w:r>
          </w:p>
        </w:tc>
      </w:tr>
      <w:tr>
        <w:tc>
          <w:tcPr>
            <w:tcW w:type="dxa" w:w="4320"/>
          </w:tcPr>
          <w:p>
            <w:r>
              <w:t>Base legal (LGPD)</w:t>
            </w:r>
          </w:p>
        </w:tc>
        <w:tc>
          <w:tcPr>
            <w:tcW w:type="dxa" w:w="4320"/>
          </w:tcPr>
          <w:p>
            <w:r>
              <w:t>Fundamentos normativos</w:t>
            </w:r>
          </w:p>
        </w:tc>
      </w:tr>
      <w:tr>
        <w:tc>
          <w:tcPr>
            <w:tcW w:type="dxa" w:w="4320"/>
          </w:tcPr>
          <w:p>
            <w:r>
              <w:t>Baseline de segurança</w:t>
            </w:r>
          </w:p>
        </w:tc>
        <w:tc>
          <w:tcPr>
            <w:tcW w:type="dxa" w:w="4320"/>
          </w:tcPr>
          <w:p>
            <w:r>
              <w:t>Controles mínimos</w:t>
            </w:r>
          </w:p>
        </w:tc>
      </w:tr>
      <w:tr>
        <w:tc>
          <w:tcPr>
            <w:tcW w:type="dxa" w:w="4320"/>
          </w:tcPr>
          <w:p>
            <w:r>
              <w:t>Resposta a incidentes</w:t>
            </w:r>
          </w:p>
        </w:tc>
        <w:tc>
          <w:tcPr>
            <w:tcW w:type="dxa" w:w="4320"/>
          </w:tcPr>
          <w:p>
            <w:r>
              <w:t>Resposta a incidentes</w:t>
            </w:r>
          </w:p>
        </w:tc>
      </w:tr>
      <w:tr>
        <w:tc>
          <w:tcPr>
            <w:tcW w:type="dxa" w:w="4320"/>
          </w:tcPr>
          <w:p>
            <w:r>
              <w:t>RIPD</w:t>
            </w:r>
          </w:p>
        </w:tc>
        <w:tc>
          <w:tcPr>
            <w:tcW w:type="dxa" w:w="4320"/>
          </w:tcPr>
          <w:p>
            <w:r>
              <w:t>Avaliação de impacto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