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맑은 고딕" w:cs="맑은 고딕" w:eastAsia="맑은 고딕" w:hAnsi="맑은 고딕"/>
          <w:b/>
          <w:bCs/>
          <w:color w:val="1D4ED8"/>
          <w:sz w:val="42"/>
          <w:szCs w:val="42"/>
        </w:rPr>
        <w:t xml:space="preserve">특 허 출 원 검 토 자 료</w:t>
      </w:r>
    </w:p>
    <w:p>
      <w:pPr>
        <w:spacing w:after="0" w:before="240"/>
        <w:jc w:val="center"/>
      </w:pPr>
      <w:r>
        <w:rPr>
          <w:rFonts w:ascii="맑은 고딕" w:cs="맑은 고딕" w:eastAsia="맑은 고딕" w:hAnsi="맑은 고딕"/>
          <w:b/>
          <w:bCs/>
          <w:color w:val="1B2430"/>
          <w:sz w:val="28"/>
          <w:szCs w:val="28"/>
        </w:rPr>
        <w:t xml:space="preserve">차량 클레임 처리 통합관리 시스템 (Claim ERP)</w:t>
      </w:r>
    </w:p>
    <w:p>
      <w:pPr>
        <w:spacing w:after="900" w:before="120"/>
        <w:jc w:val="center"/>
      </w:pPr>
      <w:r>
        <w:rPr>
          <w:rFonts w:ascii="맑은 고딕" w:cs="맑은 고딕" w:eastAsia="맑은 고딕" w:hAnsi="맑은 고딕"/>
          <w:color w:val="4A5567"/>
          <w:sz w:val="21"/>
          <w:szCs w:val="21"/>
        </w:rPr>
        <w:t xml:space="preserve">— 종래기술 대비 기술적 차별성 중심 —</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100"/>
        <w:gridCol w:w="5100"/>
      </w:tblGrid>
      <w:tr>
        <w:trPr>
          <w:cantSplit/>
          <w:tblHeader/>
        </w:trPr>
        <w:tc>
          <w:tcPr>
            <w:tcW w:type="dxa" w:w="2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항목</w:t>
            </w:r>
          </w:p>
        </w:tc>
        <w:tc>
          <w:tcPr>
            <w:tcW w:type="dxa" w:w="5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21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문서 성격</w:t>
            </w:r>
          </w:p>
        </w:tc>
        <w:tc>
          <w:tcPr>
            <w:tcW w:type="dxa" w:w="5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변리사 선행검토용 발명 설명자료 (명세서 초안 아님)</w:t>
            </w:r>
          </w:p>
        </w:tc>
      </w:tr>
      <w:tr>
        <w:trPr>
          <w:cantSplit/>
          <w:tblHeader w:val="false"/>
        </w:trPr>
        <w:tc>
          <w:tcPr>
            <w:tcW w:type="dxa" w:w="21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발명의 명칭(가칭)</w:t>
            </w:r>
          </w:p>
        </w:tc>
        <w:tc>
          <w:tcPr>
            <w:tcW w:type="dxa" w:w="5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 클레임의 미결 분류·자동처리 및 지급결의·전자결재 연계 통합관리 시스템</w:t>
            </w:r>
          </w:p>
        </w:tc>
      </w:tr>
      <w:tr>
        <w:trPr>
          <w:cantSplit/>
          <w:tblHeader w:val="false"/>
        </w:trPr>
        <w:tc>
          <w:tcPr>
            <w:tcW w:type="dxa" w:w="21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대상 도메인</w:t>
            </w:r>
          </w:p>
        </w:tc>
        <w:tc>
          <w:tcPr>
            <w:tcW w:type="dxa" w:w="5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렌터카·리스 차량 사고 클레임 (접수 → 선견적 → 수리승인 → 손해사정 → 지급·정산 → 종결)</w:t>
            </w:r>
          </w:p>
        </w:tc>
      </w:tr>
      <w:tr>
        <w:trPr>
          <w:cantSplit/>
          <w:tblHeader w:val="false"/>
        </w:trPr>
        <w:tc>
          <w:tcPr>
            <w:tcW w:type="dxa" w:w="21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개발 단계</w:t>
            </w:r>
          </w:p>
        </w:tc>
        <w:tc>
          <w:tcPr>
            <w:tcW w:type="dxa" w:w="5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화면·업무규칙 프로토타입 (설계 검증 목적, 상용 운영 전)</w:t>
            </w:r>
          </w:p>
        </w:tc>
      </w:tr>
      <w:tr>
        <w:trPr>
          <w:cantSplit/>
          <w:tblHeader w:val="false"/>
        </w:trPr>
        <w:tc>
          <w:tcPr>
            <w:tcW w:type="dxa" w:w="21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작성일</w:t>
            </w:r>
          </w:p>
        </w:tc>
        <w:tc>
          <w:tcPr>
            <w:tcW w:type="dxa" w:w="5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2026-09-15</w:t>
            </w:r>
          </w:p>
        </w:tc>
      </w:tr>
    </w:tbl>
    <w:p>
      <w:r>
        <w:br w:type="page"/>
      </w:r>
    </w:p>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Ⅰ. 검토 목적과 전제</w:t>
      </w:r>
    </w:p>
    <w:p>
      <w:pPr>
        <w:pStyle w:val="Heading2"/>
        <w:spacing w:after="120" w:before="280"/>
      </w:pPr>
      <w:r>
        <w:rPr>
          <w:rFonts w:ascii="맑은 고딕" w:cs="맑은 고딕" w:eastAsia="맑은 고딕" w:hAnsi="맑은 고딕"/>
          <w:b/>
          <w:bCs/>
          <w:color w:val="16337A"/>
          <w:sz w:val="23"/>
          <w:szCs w:val="23"/>
        </w:rPr>
        <w:t xml:space="preserve">1.1 목적</w:t>
      </w:r>
    </w:p>
    <w:p>
      <w:pPr>
        <w:spacing w:after="100" w:before="40" w:line="300"/>
        <w:jc w:val="both"/>
      </w:pPr>
      <w:r>
        <w:rPr>
          <w:rFonts w:ascii="맑은 고딕" w:cs="맑은 고딕" w:eastAsia="맑은 고딕" w:hAnsi="맑은 고딕"/>
          <w:color w:val="1B2430"/>
          <w:sz w:val="20"/>
          <w:szCs w:val="20"/>
        </w:rPr>
        <w:t xml:space="preserve">본 자료는 출원인이 설계·구현 중인 차량 클레임 처리 통합관리 시스템(이하 “본 시스템”)에 대하여, 변리사가 ① 특허 출원 가능성, ② 신규성·진보성이 인정될 여지가 있는 구성, ③ 청구항 구성의 방향을 판단할 수 있도록 기술적 차별점을 정리한 것이다.</w:t>
      </w:r>
    </w:p>
    <w:p>
      <w:pPr>
        <w:spacing w:after="100" w:before="40" w:line="300"/>
        <w:jc w:val="both"/>
      </w:pPr>
      <w:r>
        <w:rPr>
          <w:rFonts w:ascii="맑은 고딕" w:cs="맑은 고딕" w:eastAsia="맑은 고딕" w:hAnsi="맑은 고딕"/>
          <w:color w:val="1B2430"/>
          <w:sz w:val="20"/>
          <w:szCs w:val="20"/>
        </w:rPr>
        <w:t xml:space="preserve">업무방법(BM) 발명은 ‘영업방법 자체’가 아니라 ‘컴퓨터 상에서 구체적으로 구현된 정보처리 수단’이 청구되어야 발명으로 성립하므로, 본 자료는 업무 흐름의 서술에 그치지 않고 각 차별점마다 입력값·판정규칙·상태 전이·출력 제어를 특정하여 기술하였다.</w:t>
      </w:r>
    </w:p>
    <w:p>
      <w:pPr>
        <w:pStyle w:val="Heading2"/>
        <w:spacing w:after="120" w:before="280"/>
      </w:pPr>
      <w:r>
        <w:rPr>
          <w:rFonts w:ascii="맑은 고딕" w:cs="맑은 고딕" w:eastAsia="맑은 고딕" w:hAnsi="맑은 고딕"/>
          <w:b/>
          <w:bCs/>
          <w:color w:val="16337A"/>
          <w:sz w:val="23"/>
          <w:szCs w:val="23"/>
        </w:rPr>
        <w:t xml:space="preserve">1.2 전제 — 현재 산출물의 성격</w:t>
      </w:r>
    </w:p>
    <w:p>
      <w:pPr>
        <w:spacing w:after="100" w:before="40" w:line="300"/>
        <w:jc w:val="both"/>
      </w:pPr>
      <w:r>
        <w:rPr>
          <w:rFonts w:ascii="맑은 고딕" w:cs="맑은 고딕" w:eastAsia="맑은 고딕" w:hAnsi="맑은 고딕"/>
          <w:color w:val="1B2430"/>
          <w:sz w:val="20"/>
          <w:szCs w:val="20"/>
        </w:rPr>
        <w:t xml:space="preserve">현재 구현물은 화면 구성과 업무규칙을 검증하기 위한 프로토타입이다. 데이터는 화면 단위로 보관되고 외부 시스템과의 실제 연동은 이루어지지 않은 상태이며, 아래 항목은 설계상 정의만 되어 있고 실제 채택 여부가 확정되지 않았다.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문서 인식(OCR) 기반 청구서 전산화 — 도입 여부 미정. 본 자료의 검토 범위에서 제외한다.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AI 견적심사 — 화면과 판정규칙은 정의되어 있으나 추론 모델은 미적용.</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외부 손해사정 시스템(AOS) 연동 — 데이터 형식과 정산식은 정의되어 있으나 실제 인터페이스는 미연동.</w:t>
      </w:r>
    </w:p>
    <w:p>
      <w:pPr>
        <w:spacing w:after="100" w:before="40" w:line="300"/>
        <w:jc w:val="both"/>
      </w:pPr>
      <w:r>
        <w:rPr>
          <w:rFonts w:ascii="맑은 고딕" w:cs="맑은 고딕" w:eastAsia="맑은 고딕" w:hAnsi="맑은 고딕"/>
          <w:color w:val="1B2430"/>
          <w:sz w:val="20"/>
          <w:szCs w:val="20"/>
        </w:rPr>
        <w:t xml:space="preserve">따라서 본 자료가 제시하는 특허성의 중심은 인식·추론 기술 자체가 아니라, 그 결과값과 업무 데이터를 상태·권한·채번·결재와 결합하여 통제하는 정보처리 구조에 있다. 이 점은 Ⅵ장에서 다시 다룬다.</w:t>
      </w:r>
    </w:p>
    <w:p>
      <w:pPr>
        <w:pStyle w:val="Heading2"/>
        <w:spacing w:after="120" w:before="280"/>
      </w:pPr>
      <w:r>
        <w:rPr>
          <w:rFonts w:ascii="맑은 고딕" w:cs="맑은 고딕" w:eastAsia="맑은 고딕" w:hAnsi="맑은 고딕"/>
          <w:b/>
          <w:bCs/>
          <w:color w:val="16337A"/>
          <w:sz w:val="23"/>
          <w:szCs w:val="23"/>
        </w:rPr>
        <w:t xml:space="preserve">1.3 용어</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7270"/>
      </w:tblGrid>
      <w:tr>
        <w:trPr>
          <w:cantSplit/>
          <w:tblHeader/>
        </w:trPr>
        <w:tc>
          <w:tcPr>
            <w:tcW w:type="dxa" w:w="175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용어</w:t>
            </w:r>
          </w:p>
        </w:tc>
        <w:tc>
          <w:tcPr>
            <w:tcW w:type="dxa" w:w="727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정의</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Flow 단계</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클레임의 진행 단계. 접수·선견적 / 수리 승인 / 손해사정 / 관리·정산의 4단계</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조치유형</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단계와 독립적으로 부여되는 미결 사유 분류 11종 (면허미확인·계약조사·선견미징구·일보미입력·검토미회신·청구미수신·손해사정완료·상신중·VOC·종결취소건·종결)</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선견적 / 청구서</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수리 착수 전 예상 견적 / 수리 완료 후 실제 청구 내역</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지급결의</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1건 단위로 검토·확정한 지급예정 내역. 사고번호 기준 결의순번(001, 002…) 부여</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지급결재</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복수의 지급결의를 선택·합산하여 상신하는 결재 단위. 결재순번을 별도 채번</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과실상계</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손해사정금액에 자차 과실률을 곱하여 공제하는 처리. 청구금액에는 적용하지 않음</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재원 정산</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공임소계·부품소계·부가세·자기부담금액으로 구성되는 손해사정 지급액 산출 체계</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순환배당</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신규 사고건을 담당자에게 자동 할당하는 규칙. 지역·업체 그룹 매칭과 배당건수를 기준으로 순번 산출</w:t>
            </w:r>
          </w:p>
        </w:tc>
      </w:tr>
      <w:tr>
        <w:trPr>
          <w:cantSplit/>
          <w:tblHeader w:val="false"/>
        </w:trPr>
        <w:tc>
          <w:tcPr>
            <w:tcW w:type="dxa" w:w="17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전결권한</w:t>
            </w:r>
          </w:p>
        </w:tc>
        <w:tc>
          <w:tcPr>
            <w:tcW w:type="dxa" w:w="72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직원별 결재레벨·추산한도·지급한도·종결권한(면책/지급)의 집합</w:t>
            </w:r>
          </w:p>
        </w:tc>
      </w:tr>
    </w:tbl>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Ⅱ. 배경 및 종래기술의 한계</w:t>
      </w:r>
    </w:p>
    <w:p>
      <w:pPr>
        <w:pStyle w:val="Heading2"/>
        <w:spacing w:after="120" w:before="280"/>
      </w:pPr>
      <w:r>
        <w:rPr>
          <w:rFonts w:ascii="맑은 고딕" w:cs="맑은 고딕" w:eastAsia="맑은 고딕" w:hAnsi="맑은 고딕"/>
          <w:b/>
          <w:bCs/>
          <w:color w:val="16337A"/>
          <w:sz w:val="23"/>
          <w:szCs w:val="23"/>
        </w:rPr>
        <w:t xml:space="preserve">2.1 대상 업무의 특수성</w:t>
      </w:r>
    </w:p>
    <w:p>
      <w:pPr>
        <w:spacing w:after="100" w:before="40" w:line="300"/>
        <w:jc w:val="both"/>
      </w:pPr>
      <w:r>
        <w:rPr>
          <w:rFonts w:ascii="맑은 고딕" w:cs="맑은 고딕" w:eastAsia="맑은 고딕" w:hAnsi="맑은 고딕"/>
          <w:color w:val="1B2430"/>
          <w:sz w:val="20"/>
          <w:szCs w:val="20"/>
        </w:rPr>
        <w:t xml:space="preserve">렌터카·리스 사업자의 클레임 업무는 보험사 보상업무와 외형이 유사하나, 다음의 구조적 차이로 인해 기존 보상시스템을 그대로 적용할 수 없다. 이 차이가 본 발명의 구성이 도출된 배경이다.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620"/>
      </w:tblGrid>
      <w:tr>
        <w:trPr>
          <w:cantSplit/>
          <w:tblHeader/>
        </w:trPr>
        <w:tc>
          <w:tcPr>
            <w:tcW w:type="dxa" w:w="2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33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보험사 보상업무</w:t>
            </w:r>
          </w:p>
        </w:tc>
        <w:tc>
          <w:tcPr>
            <w:tcW w:type="dxa" w:w="36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렌터카·리스 클레임 업무</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손해의 귀속</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피보험자의 손해를 보험금으로 전보</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 소유자(사업자) 자신의 자산손해 + 임차인 면책금 + 보험금이 혼재</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 데이터</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보험증권 단일</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임대차계약(렌트/리스)·면책약정·운전자범위·대차특약이 병존</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다발성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통상 정비 1건</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정비·부품·유리·실런트·운반·렌트 등 복수 지급처가 각각 청구서를 발행</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 단위</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보험금 1건 지급</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청구서별로 결의를 개별 확정한 뒤, 복수 결의를 합산하여 1건으로 결재·지급</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종결의 이원성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 종결 중심</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면책 종결(무지급)과 지급 종결이 병존하며 선행조건이 상이</w:t>
            </w:r>
          </w:p>
        </w:tc>
      </w:tr>
      <w:tr>
        <w:trPr>
          <w:cantSplit/>
          <w:tblHeader w:val="false"/>
        </w:trPr>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담당자 배당</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접수 단위 배정</w:t>
            </w:r>
          </w:p>
        </w:tc>
        <w:tc>
          <w:tcPr>
            <w:tcW w:type="dxa" w:w="3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일 배당한도·지역/업체 그룹·반차·부재를 반영한 순환배당 필요</w:t>
            </w:r>
          </w:p>
        </w:tc>
      </w:tr>
    </w:tbl>
    <w:p>
      <w:pPr>
        <w:pStyle w:val="Heading2"/>
        <w:spacing w:after="120" w:before="280"/>
      </w:pPr>
      <w:r>
        <w:rPr>
          <w:rFonts w:ascii="맑은 고딕" w:cs="맑은 고딕" w:eastAsia="맑은 고딕" w:hAnsi="맑은 고딕"/>
          <w:b/>
          <w:bCs/>
          <w:color w:val="16337A"/>
          <w:sz w:val="23"/>
          <w:szCs w:val="23"/>
        </w:rPr>
        <w:t xml:space="preserve">2.2 종래 시스템의 한계</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cantSplit/>
          <w:tblHeader/>
        </w:trPr>
        <w:tc>
          <w:tcPr>
            <w:tcW w:type="dxa" w:w="19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종래기술 유형</w:t>
            </w:r>
          </w:p>
        </w:tc>
        <w:tc>
          <w:tcPr>
            <w:tcW w:type="dxa" w:w="71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본 발명과 대비되는 한계</w:t>
            </w:r>
          </w:p>
        </w:tc>
      </w:tr>
      <w:tr>
        <w:trPr>
          <w:cantSplit/>
          <w:tblHeader w:val="false"/>
        </w:trPr>
        <w:tc>
          <w:tcPr>
            <w:tcW w:type="dxa" w:w="1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보험사 보상시스템</w:t>
            </w:r>
          </w:p>
        </w:tc>
        <w:tc>
          <w:tcPr>
            <w:tcW w:type="dxa" w:w="71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미결 분류가 진행단계 단일축이어서 ‘어느 단계에서 왜 막혔는지’가 데이터로 표현되지 않는다. 결의와 결재가 1:1로 고정되어 복수 청구서의 합산 결재가 불가하다.</w:t>
            </w:r>
          </w:p>
        </w:tc>
      </w:tr>
      <w:tr>
        <w:trPr>
          <w:cantSplit/>
          <w:tblHeader w:val="false"/>
        </w:trPr>
        <w:tc>
          <w:tcPr>
            <w:tcW w:type="dxa" w:w="1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수리비 견적·손해사정 시스템</w:t>
            </w:r>
          </w:p>
        </w:tc>
        <w:tc>
          <w:tcPr>
            <w:tcW w:type="dxa" w:w="71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견적 산출에 특화되어 있고, 그 결과를 사업자 내부의 결의·결재·종결 통제와 연결하는 수단이 없다. 결과가 화면 조회에 그쳐 내부 데이터로 재사용되지 않는다.</w:t>
            </w:r>
          </w:p>
        </w:tc>
      </w:tr>
      <w:tr>
        <w:trPr>
          <w:cantSplit/>
          <w:tblHeader w:val="false"/>
        </w:trPr>
        <w:tc>
          <w:tcPr>
            <w:tcW w:type="dxa" w:w="1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범용 ERP 전자결재</w:t>
            </w:r>
          </w:p>
        </w:tc>
        <w:tc>
          <w:tcPr>
            <w:tcW w:type="dxa" w:w="71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도메인 금액규칙(과실상계·면책금·재원 정산)이 결재 데이터와 분리되어 있어, 금액 전제가 바뀌어도 상신 대기 중인 문서가 자동으로 재검토 상태로 전이되지 않는다.</w:t>
            </w:r>
          </w:p>
        </w:tc>
      </w:tr>
      <w:tr>
        <w:trPr>
          <w:cantSplit/>
          <w:tblHeader w:val="false"/>
        </w:trPr>
        <w:tc>
          <w:tcPr>
            <w:tcW w:type="dxa" w:w="1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RPA 기반 업무 자동화</w:t>
            </w:r>
          </w:p>
        </w:tc>
        <w:tc>
          <w:tcPr>
            <w:tcW w:type="dxa" w:w="71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예외 발생 시 오류 로그를 남기고 중단할 뿐, 예외건이 ‘어느 단계·어떤 업무 사유로’ 사람에게 넘어가는지가 업무 목록에 편입되지 않는다.</w:t>
            </w:r>
          </w:p>
        </w:tc>
      </w:tr>
      <w:tr>
        <w:trPr>
          <w:cantSplit/>
          <w:tblHeader w:val="false"/>
        </w:trPr>
        <w:tc>
          <w:tcPr>
            <w:tcW w:type="dxa" w:w="1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콜센터·CRM</w:t>
            </w:r>
          </w:p>
        </w:tc>
        <w:tc>
          <w:tcPr>
            <w:tcW w:type="dxa" w:w="71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고객 컨택 이력이 클레임의 미결 상태와 연동되지 않아, 정보 미확보로 인한 정지 사유가 자동으로 해소·재개되지 않는다.</w:t>
            </w:r>
          </w:p>
        </w:tc>
      </w:tr>
    </w:tbl>
    <w:p>
      <w:pPr>
        <w:pStyle w:val="Heading2"/>
        <w:spacing w:after="120" w:before="280"/>
      </w:pPr>
      <w:r>
        <w:rPr>
          <w:rFonts w:ascii="맑은 고딕" w:cs="맑은 고딕" w:eastAsia="맑은 고딕" w:hAnsi="맑은 고딕"/>
          <w:b/>
          <w:bCs/>
          <w:color w:val="16337A"/>
          <w:sz w:val="23"/>
          <w:szCs w:val="23"/>
        </w:rPr>
        <w:t xml:space="preserve">2.3 해결하고자 하는 기술적 과제</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5320"/>
      </w:tblGrid>
      <w:tr>
        <w:trPr>
          <w:cantSplit/>
          <w:tblHeader/>
        </w:trPr>
        <w:tc>
          <w:tcPr>
            <w:tcW w:type="dxa" w:w="6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No</w:t>
            </w:r>
          </w:p>
        </w:tc>
        <w:tc>
          <w:tcPr>
            <w:tcW w:type="dxa" w:w="3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기술적 과제</w:t>
            </w:r>
          </w:p>
        </w:tc>
        <w:tc>
          <w:tcPr>
            <w:tcW w:type="dxa" w:w="53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해결 수단의 개요</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1</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진행단계와 정지사유가 한 축으로 뭉뚱그려져 병목 원인을 기계적으로 식별·집계할 수 없음</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단계와 정지사유를 독립 필드로 분리하여 2축 교차 분류하고, 정지사유를 코드화</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자동처리 대상과 사람 판단 대상을 사전에 구분할 수 없어 전건을 사람이 확인해야 함</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단계별 검증조건을 순차 판정하여 전 단계 통과 건은 무인 완료 처리하고, 불통과 건은 정지단계·사유를 부여하여 미결 목록에 잔류</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3</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청구서가 복수인 경우 결의와 결재가 1:1로 묶여 합산 결재·부분 반려가 불가</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결의순번과 결재순번을 독립 채번하고, 복수 결의를 합산하여 결재 1건을 생성하는 N:1 연결 및 역방향 상태 전파</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4</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 등 금액 전제가 사후에 확정·변경되어도 기존 결의·결재 금액이 자동으로 재검증되지 않음</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전제값의 확정 여부를 상태로 관리하여 확정 전 조작을 차단하고, 변경 시 미결재 결의를 ‘재확인 필요’로 강등 후 재계산</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5</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산출 금액이 총액으로만 유입되어 산출 근거를 내부에서 재현할 수 없음</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라인아이템·정산 재원을 포함한 스냅샷 단위로 취득하고, 재원 정산액으로 결의 금액을 대체하며 금액 출처를 기록</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6</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AI 심사 결과의 점수만으로 판정하면 인식 신뢰도가 낮은 건도 자동 승인될 수 있음</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배점 합산 판정과 별도로, 신뢰도 임계 미달 시 판정을 강제 보류로 치환하는 2단 판정</w:t>
            </w:r>
          </w:p>
        </w:tc>
      </w:tr>
      <w:tr>
        <w:trPr>
          <w:cantSplit/>
          <w:tblHeader w:val="false"/>
        </w:trPr>
        <w:tc>
          <w:tcPr>
            <w:tcW w:type="dxa" w:w="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7</w:t>
            </w:r>
          </w:p>
        </w:tc>
        <w:tc>
          <w:tcPr>
            <w:tcW w:type="dxa" w:w="3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배당이 단순 순번·수동 지정이어서 근태·한도·담당 그룹이 반영되지 않고 결과를 사전 검증할 수 없음</w:t>
            </w:r>
          </w:p>
        </w:tc>
        <w:tc>
          <w:tcPr>
            <w:tcW w:type="dxa" w:w="5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배제사유를 정의 순서대로 단락 판정하고, 그룹 매칭 계층·배당건수·사번의 3단 정렬로 결정론적 순번을 산출하며, 저장하지 않는 시뮬레이션으로 사전 검증</w:t>
            </w:r>
          </w:p>
        </w:tc>
      </w:tr>
    </w:tbl>
    <w:p>
      <w:r>
        <w:br w:type="page"/>
      </w:r>
    </w:p>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Ⅲ. 시스템 구성과 전체 플로우</w:t>
      </w:r>
    </w:p>
    <w:p>
      <w:pPr>
        <w:pStyle w:val="Heading2"/>
        <w:spacing w:after="120" w:before="280"/>
      </w:pPr>
      <w:r>
        <w:rPr>
          <w:rFonts w:ascii="맑은 고딕" w:cs="맑은 고딕" w:eastAsia="맑은 고딕" w:hAnsi="맑은 고딕"/>
          <w:b/>
          <w:bCs/>
          <w:color w:val="16337A"/>
          <w:sz w:val="23"/>
          <w:szCs w:val="23"/>
        </w:rPr>
        <w:t xml:space="preserve">3.1 기능부 구성</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
        <w:gridCol w:w="2050"/>
        <w:gridCol w:w="6470"/>
      </w:tblGrid>
      <w:tr>
        <w:trPr>
          <w:cantSplit/>
          <w:tblHeader/>
        </w:trPr>
        <w:tc>
          <w:tcPr>
            <w:tcW w:type="dxa" w:w="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No</w:t>
            </w:r>
          </w:p>
        </w:tc>
        <w:tc>
          <w:tcPr>
            <w:tcW w:type="dxa" w:w="205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기능부</w:t>
            </w:r>
          </w:p>
        </w:tc>
        <w:tc>
          <w:tcPr>
            <w:tcW w:type="dxa" w:w="647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역할</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미결 분류부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단계·정지사유의 2축 교차 필터링, 단계별 미결 집계, 다중조건 조회</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②</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자동처리 판정부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단계별 검증조건 순차 판정 → 무인 완료 또는 (정지단계, 정지사유) 부여</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③</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접수·상세 처리부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계약·사고정보 / 피해 진행정보 / 청구 견적정보 3탭, 탭별 저장상태 관리, 파손부위 대조</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④</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외부견적 연동부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스냅샷 취득(라인아이템·이미지·재원), 재원 정산액 산출 및 금액 오버라이드</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⑤</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지원부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배점 합산 + 신뢰도 임계 판정, 라인아이템 단위 인정금액 산정, 검토회신 초안 생성</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⑥</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지급결의·결재부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결의순번·결재순번 독립 채번, 합산 결재 생성, 결재 상태의 결의 역전파</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⑦</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권한·배당부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전결권한·한도·종결권한 관리, 순환배당 판정, 무저장 시뮬레이션, 변경이력</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⑧</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증빙·통지부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사고건별 폴더 단위 이미지 관리, 만료·인증형 보안링크 발송, 템플릿 변수 치환</w:t>
            </w:r>
          </w:p>
        </w:tc>
      </w:tr>
      <w:tr>
        <w:trPr>
          <w:cantSplit/>
          <w:tblHeader w:val="false"/>
        </w:trPr>
        <w:tc>
          <w:tcPr>
            <w:tcW w:type="dxa" w:w="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⑨</w:t>
            </w:r>
          </w:p>
        </w:tc>
        <w:tc>
          <w:tcPr>
            <w:tcW w:type="dxa" w:w="20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협력업체부</w:t>
            </w:r>
          </w:p>
        </w:tc>
        <w:tc>
          <w:tcPr>
            <w:tcW w:type="dxa" w:w="64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계약·수가·지급처 관리, 평가항목 마스터 기반 동적 평가폼, 표본 쿼터 제어</w:t>
            </w:r>
          </w:p>
        </w:tc>
      </w:tr>
    </w:tbl>
    <w:p>
      <w:pPr>
        <w:pStyle w:val="Heading2"/>
        <w:spacing w:after="120" w:before="280"/>
      </w:pPr>
      <w:r>
        <w:rPr>
          <w:rFonts w:ascii="맑은 고딕" w:cs="맑은 고딕" w:eastAsia="맑은 고딕" w:hAnsi="맑은 고딕"/>
          <w:b/>
          <w:bCs/>
          <w:color w:val="16337A"/>
          <w:sz w:val="23"/>
          <w:szCs w:val="23"/>
        </w:rPr>
        <w:t xml:space="preserve">3.2 전체 업무 플로우</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000"/>
        <w:gridCol w:w="2700"/>
        <w:gridCol w:w="2870"/>
      </w:tblGrid>
      <w:tr>
        <w:trPr>
          <w:cantSplit/>
          <w:tblHeader/>
        </w:trPr>
        <w:tc>
          <w:tcPr>
            <w:tcW w:type="dxa" w:w="145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단계</w:t>
            </w:r>
          </w:p>
        </w:tc>
        <w:tc>
          <w:tcPr>
            <w:tcW w:type="dxa" w:w="20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주요 업무</w:t>
            </w:r>
          </w:p>
        </w:tc>
        <w:tc>
          <w:tcPr>
            <w:tcW w:type="dxa" w:w="2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검증조건 (자동처리 판정 기준)</w:t>
            </w:r>
          </w:p>
        </w:tc>
        <w:tc>
          <w:tcPr>
            <w:tcW w:type="dxa" w:w="287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다음 단계 진입 요건</w:t>
            </w:r>
          </w:p>
        </w:tc>
      </w:tr>
      <w:tr>
        <w:trPr>
          <w:cantSplit/>
          <w:tblHeader w:val="false"/>
        </w:trPr>
        <w:tc>
          <w:tcPr>
            <w:tcW w:type="dxa" w:w="14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1. 접수·선견적</w:t>
            </w:r>
          </w:p>
        </w:tc>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차량·계약정보 확인, 운전자·사고정보 확인, 입고지 확인, 선견적 수신</w:t>
            </w:r>
          </w:p>
        </w:tc>
        <w:tc>
          <w:tcPr>
            <w:tcW w:type="dxa" w:w="2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운전자 개인정보 동의 확보 / 계약정보 확인</w:t>
            </w:r>
          </w:p>
        </w:tc>
        <w:tc>
          <w:tcPr>
            <w:tcW w:type="dxa" w:w="28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계약·사고정보 저장, 선견적 라인아이템 확보</w:t>
            </w:r>
          </w:p>
        </w:tc>
      </w:tr>
      <w:tr>
        <w:trPr>
          <w:cantSplit/>
          <w:tblHeader w:val="false"/>
        </w:trPr>
        <w:tc>
          <w:tcPr>
            <w:tcW w:type="dxa" w:w="14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 수리 승인</w:t>
            </w:r>
          </w:p>
        </w:tc>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파손부위 대조, 공업사 수리 오더, 수리 승인</w:t>
            </w:r>
          </w:p>
        </w:tc>
        <w:tc>
          <w:tcPr>
            <w:tcW w:type="dxa" w:w="2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선견적 수신 / 과실률 확정</w:t>
            </w:r>
          </w:p>
        </w:tc>
        <w:tc>
          <w:tcPr>
            <w:tcW w:type="dxa" w:w="28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파손부위 대조 완료 및 수리승인 지시 송신</w:t>
            </w:r>
          </w:p>
        </w:tc>
      </w:tr>
      <w:tr>
        <w:trPr>
          <w:cantSplit/>
          <w:tblHeader w:val="false"/>
        </w:trPr>
        <w:tc>
          <w:tcPr>
            <w:tcW w:type="dxa" w:w="14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3. 손해사정</w:t>
            </w:r>
          </w:p>
        </w:tc>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수신, 손해사정 결과 조회, 면부책·과실 조회</w:t>
            </w:r>
          </w:p>
        </w:tc>
        <w:tc>
          <w:tcPr>
            <w:tcW w:type="dxa" w:w="2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수신 / 파손사진 확인 / 심사 결과 적정</w:t>
            </w:r>
          </w:p>
        </w:tc>
        <w:tc>
          <w:tcPr>
            <w:tcW w:type="dxa" w:w="28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손해사정금액 확정, 지급결의 확정 가능 상태</w:t>
            </w:r>
          </w:p>
        </w:tc>
      </w:tr>
      <w:tr>
        <w:trPr>
          <w:cantSplit/>
          <w:tblHeader w:val="false"/>
        </w:trPr>
        <w:tc>
          <w:tcPr>
            <w:tcW w:type="dxa" w:w="145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4. 관리·정산</w:t>
            </w:r>
          </w:p>
        </w:tc>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손해액 확정, 지급결의·지급결재, 정산 반영</w:t>
            </w:r>
          </w:p>
        </w:tc>
        <w:tc>
          <w:tcPr>
            <w:tcW w:type="dxa" w:w="2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청구금액 ≤ 선견적 × 1.15 / 자동 지급한도 이하</w:t>
            </w:r>
          </w:p>
        </w:tc>
        <w:tc>
          <w:tcPr>
            <w:tcW w:type="dxa" w:w="287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완료 후 면책 또는 지급 종결</w:t>
            </w:r>
          </w:p>
        </w:tc>
      </w:tr>
    </w:tbl>
    <w:p>
      <w:r>
        <w:br w:type="page"/>
      </w:r>
    </w:p>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Ⅳ. 종래기술 대비 기술적 차별점</w:t>
      </w:r>
    </w:p>
    <w:p>
      <w:pPr>
        <w:spacing w:after="100" w:before="40" w:line="300"/>
        <w:jc w:val="both"/>
      </w:pPr>
      <w:r>
        <w:rPr>
          <w:rFonts w:ascii="맑은 고딕" w:cs="맑은 고딕" w:eastAsia="맑은 고딕" w:hAnsi="맑은 고딕"/>
          <w:color w:val="1B2430"/>
          <w:sz w:val="20"/>
          <w:szCs w:val="20"/>
        </w:rPr>
        <w:t xml:space="preserve">이하 7개 항목은 단독으로 또는 조합하여 청구항을 구성할 수 있는 후보이다. 각 항목을 ‘종래기술 → 본 발명의 구성 → 기술적 효과 → 청구항화 포인트’의 4단으로 기술한다.</w:t>
      </w:r>
    </w:p>
    <w:p>
      <w:pPr>
        <w:pStyle w:val="Heading2"/>
        <w:spacing w:after="120" w:before="280"/>
      </w:pPr>
      <w:r>
        <w:rPr>
          <w:rFonts w:ascii="맑은 고딕" w:cs="맑은 고딕" w:eastAsia="맑은 고딕" w:hAnsi="맑은 고딕"/>
          <w:b/>
          <w:bCs/>
          <w:color w:val="16337A"/>
          <w:sz w:val="23"/>
          <w:szCs w:val="23"/>
        </w:rPr>
        <w:t xml:space="preserve">차별점 1. 진행단계와 정지사유의 2축 독립 분류</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미결 건을 진행단계 하나의 축으로만 분류한다. ‘손해사정 단계에 20건’은 알 수 있으나 그 20건이 청구서 미수신 때문인지 업체 미회신 때문인지는 집계되지 않으며, 정지사유는 담당자 메모 등 비정형 텍스트로만 남는다.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각 클레임에 진행단계 식별자(4종)와, 단계와 독립적으로 부여되는 정지사유 식별자(11종)를 별도 필드로 보유시킨다. 조회부는 단계 단일선택과 정지사유 다중선택을 교차 적용하고, 여기에 계획(긴급/관심), 구분(수리승인/미승인/관리건), 정비공장명, 추산금액 구간, 통합검색어를 순차 필터로 결합한다. 정지사유 목록은 단계에 종속되지 않고 항상 전체가 노출되어, 동일 사유가 여러 단계에 걸쳐 존재하는 상황을 한 화면에서 비교할 수 있다.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 × 사유’ 교차 집계로 병목 원인을 정량 식별할 수 있다. 정지사유가 코드값이므로 자동처리 판정부가 생성한 사유와 동일 체계로 통합되어, 사람이 만든 미결과 기계가 만든 미결이 하나의 목록에서 관리된다. 단계가 이동해도 사유가 소실되지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“진행단계 식별자와 정지사유 식별자를 상호 독립적인 필드로 저장하고, 단계 선택과 정지사유 다중선택을 교차 적용하여 미결 목록을 생성하며, 자동처리 판정부가 산출한 정지사유를 동일한 식별자 체계로 기록하는 것”.</w:t>
            </w:r>
          </w:p>
        </w:tc>
      </w:tr>
    </w:tbl>
    <w:p>
      <w:pPr>
        <w:pStyle w:val="Heading2"/>
        <w:spacing w:after="120" w:before="280"/>
      </w:pPr>
      <w:r>
        <w:rPr>
          <w:rFonts w:ascii="맑은 고딕" w:cs="맑은 고딕" w:eastAsia="맑은 고딕" w:hAnsi="맑은 고딕"/>
          <w:b/>
          <w:bCs/>
          <w:color w:val="16337A"/>
          <w:sz w:val="23"/>
          <w:szCs w:val="23"/>
        </w:rPr>
        <w:t xml:space="preserve">차별점 2. 단계별 검증조건 순차 판정에 의한 무인 처리와 예외 정지</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자동화 도구는 정형 절차를 수행하다 예외를 만나면 중단하고 오류 로그를 남긴다. 중단 건은 별도 오류 큐로 빠지며, 어느 업무 단계에서 어떤 업무적 사유로 멈췄는지가 업무 목록에 반영되지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단계별로 검증조건을 정의한다. 1단계는 운전자 개인정보 동의 확보 및 계약정보 확인, 2단계는 선견적 수신 및 과실률 확정, 3단계는 청구서 수신·파손부위 사진 확인 가능 여부·심사 견적 과다 여부, 4단계는 ‘청구금액 ≤ 선견적금액 × 소정 배수’ 및 ‘청구금액 ≤ 자동 지급한도’의 정량 조건이다. 처리부는 대기열에서 1건을 선택해 현재 단계의 조건을 순차 판정하고, 통과 시 다음 단계로 승급시켜 동일 판정을 반복하며, 최종 단계까지 통과하면 무인 완료로 목록에서 제거한다. 불통과 시에는 (정지단계, 정지사유) 쌍을 기록하고 수동 상태로 전환하여 목록에 잔류시킨다. 처리 종료 시 자동 완료 건수, 사람 확인 건수, 자동화율, 자동 처리분의 수작업 환산시간 대비 실제 소요시간을 산출한다.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자동처리 대상과 사람 판단 대상이 사전 규칙으로 분리되어 전건 육안 확인이 불필요해진다. 예외건이 오류 큐가 아니라 원래의 미결 목록에 정지단계·사유를 달고 남으므로 차별점 1의 2축 분류에 그대로 편입된다. 정량 조건이 규칙에 포함되어 금액 과다 청구의 자동 승인이 차단된다.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“단계별 검증조건 집합을 순차 판정하여 전 단계 통과 시 무인 완료 처리하고, 불통과 시 불통과 단계 식별자와 사유 식별자를 기록하여 미결 목록에 잔류시키는 단계”와 “청구금액이 선견적금액의 소정 배수 또는 자동처리 한도금액을 초과하는지 판정하는 단계”의 결합.</w:t>
            </w:r>
          </w:p>
        </w:tc>
      </w:tr>
    </w:tbl>
    <w:p>
      <w:pPr>
        <w:pStyle w:val="Heading2"/>
        <w:spacing w:after="120" w:before="280"/>
      </w:pPr>
      <w:r>
        <w:rPr>
          <w:rFonts w:ascii="맑은 고딕" w:cs="맑은 고딕" w:eastAsia="맑은 고딕" w:hAnsi="맑은 고딕"/>
          <w:b/>
          <w:bCs/>
          <w:color w:val="16337A"/>
          <w:sz w:val="23"/>
          <w:szCs w:val="23"/>
        </w:rPr>
        <w:t xml:space="preserve">차별점 3. 지급결의–지급결재 이원 채번과 N:1 합산 결재</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전표와 결재가 1:1로 대응하거나, 결재 문서에 전표를 첨부한다. 복수 전표를 하나의 결재로 올리면 결재 문서에서 개별 전표의 상태를 추적할 수 없고, 반려 시 어느 전표가 재작업 대상인지 시스템이 판단하지 못한다.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동일 사고번호 내에서 결의순번은 청구유형과 무관하게 저장 순서대로 1씩 증가시키고 삭제분의 번호를 재사용하지 않으며, 결재순번은 실제 상신이 일어난 때에만 1씩 증가시킨다. 상신 시 선택된 복수 결의의 최종 지급예정금액을 합산하여 결재 1건을 생성하고, 결재 레코드에 포함 결의 ID 배열과 포함 결의순번 배열을 보유시킨다. 각 결의는 현재 연결 결재와 과거 연결 결재 이력을 각각 보유한다. 결재의 상태 변경은 연결된 모든 결의로 역전파되며, 상신중 전이 시 현재 연결을 설정하고, 그 외 상태로 전이될 때에는 현재 결재 ID를 이력으로 이관하되 결재완료가 아닌 경우에만 연결을 해제한다. 결의 상태별로 선택·수정·삭제·상신의 허용 여부를 매트릭스로 정의하여, 전체선택 시에도 잠금 상태의 결의는 제외된다.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단위의 검토 정합성(결의)과 결재 단위의 권한·한도 통제(결재)를 분리하면서도 상호 추적이 가능하다. 반려·상신취소 시 연결된 결의만 정확히 재작업 가능 상태로 되돌아가고 결재완료 결의는 잠금이 유지된다. 재상신 시 신규 결재순번이 생성되되 과거 결재 이력이 결의에 누적되어 결재 시도 궤적이 보존된다.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“동일 사고 식별자에 대하여 결의 채번과 결재 채번을 독립 수행하고, 선택된 복수 결의의 확정금액을 합산하여 단일 결재를 생성하며, 결재 상태 변경을 연결된 모든 결의로 전파하되 결재완료 상태에서는 연결을 유지하고 그 외 상태에서는 연결을 해제·이관하는 것”.</w:t>
            </w:r>
          </w:p>
        </w:tc>
      </w:tr>
    </w:tbl>
    <w:p>
      <w:pPr>
        <w:pStyle w:val="Heading2"/>
        <w:spacing w:after="120" w:before="280"/>
      </w:pPr>
      <w:r>
        <w:rPr>
          <w:rFonts w:ascii="맑은 고딕" w:cs="맑은 고딕" w:eastAsia="맑은 고딕" w:hAnsi="맑은 고딕"/>
          <w:b/>
          <w:bCs/>
          <w:color w:val="16337A"/>
          <w:sz w:val="23"/>
          <w:szCs w:val="23"/>
        </w:rPr>
        <w:t xml:space="preserve">차별점 4. 금액 전제의 확정상태 연동 재계산 및 결의 상태 자동 강등</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과실률은 금액 산정의 입력값으로만 취급되어, 결재 상신 이후 값이 변경되어도 작성된 전표 금액은 그대로 유지된다. 담당자가 변경을 인지해 수작업으로 취소·재작성하지 않으면 잘못된 금액이 결재된다.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과실률을 값과 확정 여부의 두 속성으로 분리해 상태로 관리한다. ① 미확정 상태에서는 조회·입력은 허용하되 결의 확정·재확정, 결의 선택, 선택삭제, 결재 상신 영역을 비활성화하고 고정 안내 문구를 표시한다. ② 과실상계는 손해사정금액에만 적용하고 청구금액에는 적용하지 않으며, 각 결의는 확정 당시의 과실률을 별도 필드로 보존한다. ③ 과실률이 사후 변경되면 결재완료·상신중 결의는 자동 변경 대상에서 제외하고, 결재 전·반려·상신취소 상태의 결의만 ‘재확인 필요’로 강등한 뒤 변경값을 기록하고 금액을 재계산한다. 강등된 결의는 담당자의 재확정 전까지 결재 선택이 불가하다. ④ 상신 시점에 결의의 확정시점 과실률과 현재 과실률을 재대조하여 불일치 시 상신을 차단한다.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금액 전제의 변경이 결의 상태로 자동 반영되어 구(舊) 전제에 기초한 결재 상신이 원천 차단된다. 진행 중·완료된 결재는 자동 변경 대상에서 제외되어 결재 무결성이 유지되고, 추가지급·환입은 신규 결의로 분리 처리된다. 상신 시 재대조로 동시 변경 상황에서의 오상신을 방지한다.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“금액 산정 전제값의 확정상태에 따라 확정계 조작을 선택적으로 비활성화하는 단계”, “전제값 변경 시 결재 진행상태별로 대상을 선별하여 재확인 상태로 전이·재계산하는 단계”, “상신 시 확정시점 전제값과 현재값을 재대조하여 불일치 시 차단하는 단계”의 결합.</w:t>
            </w:r>
          </w:p>
        </w:tc>
      </w:tr>
    </w:tbl>
    <w:p>
      <w:pPr>
        <w:pStyle w:val="Heading2"/>
        <w:spacing w:after="120" w:before="280"/>
      </w:pPr>
      <w:r>
        <w:rPr>
          <w:rFonts w:ascii="맑은 고딕" w:cs="맑은 고딕" w:eastAsia="맑은 고딕" w:hAnsi="맑은 고딕"/>
          <w:b/>
          <w:bCs/>
          <w:color w:val="16337A"/>
          <w:sz w:val="23"/>
          <w:szCs w:val="23"/>
        </w:rPr>
        <w:t xml:space="preserve">차별점 5. 외부 견적 결과의 스냅샷 취득과 재원 정산식 기반 금액 대체</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견적 시스템의 결과는 화면 조회 또는 출력물로 제공되고, 내부 시스템에는 총액만 수기 입력된다. 라인아이템·사진·정산 근거가 내부 결의와 분리되어 금액의 산출 근거를 내부에서 재현할 수 없다.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결과를 단일 스냅샷(스냅샷 ID, 사고 식별자, 취득시각, 출처, 지급처, 견적 라인아이템, 이미지, 재원 상세, 별도 지급처 재원)으로 취득한다. 취득 시 라인아이템이 현재 보기 모드(선견적/청구서)에 대응해 그리드에 전개되고, 이미지가 수리전·수리완료 폴더에 주입되며, 재원 정산 합계가 산출된다. 정비 재원의 지급액은 ‘(공임소계 + 부품소계) + 부가세 − 자기부담금액’으로, 부품·유리 등 별도 지급처 재원은 ‘과세표준 + 부가세 − 과실상계액’(과세표준 = 부품소계 − 할인금액 − 감가상각 − 잔존물)으로 산출한다. 공임소계는 탈착교환·판금교정·견인구난비·도장정산으로 분해 보유한다. 지급결의 생성 시 해당 유형의 재원 정산액이 존재하면 라인아이템 합산값 대신 이를 손해사정금액으로 대체하고, 과실상계액과 최종 지급예정금액을 재산출하며 금액 출처 식별자를 기록한다.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산출 금액이 분해된 근거와 함께 내부 결의에 귀속되어 총액 수기 입력 대비 검증 가능성이 확보된다. 동일 사고건에 선견적·청구서 두 스냅샷을 모드별로 보유하여 수리 전후 비교가 가능하다. 지급처가 다른 재원을 별도로 추가해 각각의 결의 금액에 독립 반영할 수 있고, 금액 출처가 필드로 남아 감사 시 구분된다.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시스템의 산출 결과를 라인아이템·이미지·재원 상세를 포함하는 단일 스냅샷으로 취득하여 각 표시영역에 반영하고, 재원 상세로부터 산출한 정산액으로 결의의 손해사정금액을 대체하며 금액 출처 식별자를 함께 기록하는 것”.</w:t>
            </w:r>
          </w:p>
        </w:tc>
      </w:tr>
    </w:tbl>
    <w:p>
      <w:pPr>
        <w:pStyle w:val="Heading2"/>
        <w:spacing w:after="120" w:before="280"/>
      </w:pPr>
      <w:r>
        <w:rPr>
          <w:rFonts w:ascii="맑은 고딕" w:cs="맑은 고딕" w:eastAsia="맑은 고딕" w:hAnsi="맑은 고딕"/>
          <w:b/>
          <w:bCs/>
          <w:color w:val="16337A"/>
          <w:sz w:val="23"/>
          <w:szCs w:val="23"/>
        </w:rPr>
        <w:t xml:space="preserve">차별점 6. 배점 합산과 신뢰도 임계를 분리한 2단 심사 판정</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견적 심사는 통상 단일 점수 또는 확률값을 출력하고 임계값 이상이면 적정으로 판정한다. 점수는 높으나 입력 자료의 품질이 낮아 인식 자체의 신뢰도가 떨어지는 경우에도 자동 승인될 수 있다. 판정이 건 단위 총액에 대해서만 이루어져 어느 항목이 왜 제외되었는지 제시되지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 심사 대상이 수리 전 견적심사인지 수리 후 청구심사인지에 따라 서로 다른 배점표를 적용한다(각 6항목 100점, 항목별 획득점수와 감점 사유를 함께 보유). ② 합산점수를 다단 임계로 적정·조건부 적정·보류·부적정으로 1차 판정한 뒤, 신뢰도가 기준값 미만이면 점수와 무관하게 판정을 ‘보류’로 강제 치환하고 치환 사유를 기록한다. ③ 사진 또는 견적이 없으면 점수 산출 자체를 수행하지 않고 ‘자료대기’로 분류하며 부족 자료 종류를 특정한다. ④ 인정금액은 총액이 아닌 라인아이템 단위로 산정하여 각 항목을 승인·조건부·제외·보류로 분류하고, 제외 항목 합계를 불인정금액, 청구금액에서 이를 차감한 값을 인정금액, 그 비율을 인정률로 산출하며 항목별 사유를 부기한다. ⑤ 목록은 판정 우선순위와 경과시간을 기준으로 정렬하여 사람 개입이 필요한 건을 상단에 고정한다.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점수와 신뢰도를 독립 축으로 분리하여 ‘고득점·저신뢰’ 건의 자동 승인을 차단한다. 부족자료 건은 점수 미산출로 분류되어 판정 실패와 구분되며, 요청할 자료 종류가 특정되어 통지부와 연결된다. 라인아이템 단위 산정으로 청구 내역과 인정금액이 항상 동일 기준으로 대응하여 금액 불일치가 발생하지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종류에 따라 상이한 배점 항목 집합을 선택 적용하는 단계”, “합산점수에 의한 1차 판정 후 신뢰도가 기준값 미만이면 판정을 보류로 치환하고 치환 사유를 기록하는 단계”, “라인아이템별 상태 분류에 기초하여 인정금액·불인정금액·인정률을 산출하는 단계”의 결합. 두 번째 단계가 신규성 논거의 핵심이다.</w:t>
            </w:r>
          </w:p>
        </w:tc>
      </w:tr>
    </w:tbl>
    <w:p>
      <w:pPr>
        <w:pStyle w:val="Heading2"/>
        <w:spacing w:after="120" w:before="280"/>
      </w:pPr>
      <w:r>
        <w:rPr>
          <w:rFonts w:ascii="맑은 고딕" w:cs="맑은 고딕" w:eastAsia="맑은 고딕" w:hAnsi="맑은 고딕"/>
          <w:b/>
          <w:bCs/>
          <w:color w:val="16337A"/>
          <w:sz w:val="23"/>
          <w:szCs w:val="23"/>
        </w:rPr>
        <w:t xml:space="preserve">차별점 7. 다단 배제판정과 결정론적 정렬에 의한 순환배당</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7520"/>
      </w:tblGrid>
      <w:tr>
        <w:trPr>
          <w:cantSplit/>
          <w:tblHeader/>
        </w:trPr>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종래기술</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배당은 라운드로빈 또는 수동 지정으로 처리된다. 반차·부재는 별도 근태시스템에 있어 배당 로직에 반영되지 않고, 배당 결과의 근거(왜 이 사람인가, 왜 저 사람은 빠졌는가)가 제시되지 않으며, 설정 변경의 영향은 실제 배당 후에야 확인된다.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본 발명의 구성</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 직원별로 배당방식(배당제외/지역순환/업체순환/지역+업체순환), 지역·업체 그룹, 일 배당한도, 현재 배당건수, 배당상태, 부재 시작·종료 일시, 직무대행자, 적용 여부를 보유한다. 그룹값에는 ‘전체’(항상 매칭)와 ‘제외’(항상 미매칭)의 특수값을 둔다. ② 배제사유를 정의 순서대로 단락 평가한다: 적용안함 → 배당제외 설정 → 배당중지 → 부재중(기준시점이 부재 구간 내인지) → 일 배당한도 초과 → 그룹 불일치. 최초로 성립한 사유 하나만 반환하므로 제외 근거가 일의적으로 확정된다. ③ 후보에 대해 그룹 매칭 계층을 산출한다(업체 매칭 0, 지역 매칭 1, 지역+업체순환이면서 양쪽 불일치인 경우 2=공통·관리자 확인). ④ 계층 오름차순 → 현재 배당건수 오름차순 → 사번 비교의 3단 안정정렬로 순번을 산출하고 1순위를 최종 배당예정자로 확정한다. ⑤ 판정부는 부작용 없는 순수 함수로 구현되어, 미리보기 전용 시뮬레이션이 지역·업체·기준시점을 가정값으로 입력받아 후보 순번·최종 배당예정자·제외 사유를 저장 없이 산출한다. ⑥ 부재·반차는 신규 배당만 제한하고 기존 배당건은 이관하지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기술적 효과</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동일 입력에 항상 동일 결과가 산출되어 배당 시비를 근거로 해소할 수 있다. 제외 사유가 단일값으로 확정되어 직원별로 명시된다. 순수 함수 설계로 동일 로직이 실배당과 시뮬레이션에 공용되므로 미리보기와 실제 결과의 괴리가 구조적으로 발생하지 않는다. 기존 배당건을 이관하지 않아 부재 설정이 진행 중 업무를 흔들지 않는다.</w:t>
            </w:r>
          </w:p>
        </w:tc>
      </w:tr>
      <w:tr>
        <w:trPr>
          <w:cantSplit/>
          <w:tblHeader w:val="false"/>
        </w:trPr>
        <w:tc>
          <w:tcPr>
            <w:tcW w:type="dxa" w:w="1500"/>
            <w:tcBorders>
              <w:top w:val="single" w:color="C9D3E4" w:sz="4"/>
              <w:left w:val="single" w:color="C9D3E4" w:sz="4"/>
              <w:bottom w:val="single" w:color="C9D3E4" w:sz="4"/>
              <w:right w:val="single" w:color="C9D3E4" w:sz="4"/>
            </w:tcBorders>
            <w:shd w:fill="F3F6FC" w:color="auto" w:val="clear"/>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bCs/>
                <w:color w:val="1B2430"/>
                <w:sz w:val="17"/>
                <w:szCs w:val="17"/>
              </w:rPr>
              <w:t xml:space="preserve">청구항화 포인트</w:t>
            </w:r>
          </w:p>
        </w:tc>
        <w:tc>
          <w:tcPr>
            <w:tcW w:type="dxa" w:w="7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“복수의 배제조건을 정의된 순서로 단락 평가하여 최초 성립 조건을 단일 제외사유로 확정하는 단계”, “그룹 매칭 종류에 따라 우선순위 계층값을 부여하고 계층값·배당건수·식별자의 다단 정렬로 순번을 산출하는 단계”, “동일 판정을 부작용 없이 실행하여 저장 없이 결과를 산출하는 시뮬레이션 단계”의 결합.</w:t>
            </w:r>
          </w:p>
        </w:tc>
      </w:tr>
    </w:tbl>
    <w:p>
      <w:pPr>
        <w:pStyle w:val="Heading2"/>
        <w:spacing w:after="120" w:before="280"/>
      </w:pPr>
      <w:r>
        <w:rPr>
          <w:rFonts w:ascii="맑은 고딕" w:cs="맑은 고딕" w:eastAsia="맑은 고딕" w:hAnsi="맑은 고딕"/>
          <w:b/>
          <w:bCs/>
          <w:color w:val="16337A"/>
          <w:sz w:val="23"/>
          <w:szCs w:val="23"/>
        </w:rPr>
        <w:t xml:space="preserve">그 밖의 차별 구성</w:t>
      </w:r>
    </w:p>
    <w:p>
      <w:pPr>
        <w:spacing w:after="100" w:before="40" w:line="300"/>
        <w:jc w:val="both"/>
      </w:pPr>
      <w:r>
        <w:rPr>
          <w:rFonts w:ascii="맑은 고딕" w:cs="맑은 고딕" w:eastAsia="맑은 고딕" w:hAnsi="맑은 고딕"/>
          <w:color w:val="1B2430"/>
          <w:sz w:val="20"/>
          <w:szCs w:val="20"/>
        </w:rPr>
        <w:t xml:space="preserve">아래는 단독 독립항으로는 진보성 확보가 어려울 수 있으나, 상위 청구항의 종속항 또는 실시예로서 구체성을 보강하는 데 유효한 구성이다.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cantSplit/>
          <w:tblHeader/>
        </w:trPr>
        <w:tc>
          <w:tcPr>
            <w:tcW w:type="dxa" w:w="22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구성</w:t>
            </w:r>
          </w:p>
        </w:tc>
        <w:tc>
          <w:tcPr>
            <w:tcW w:type="dxa" w:w="68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내용과 차별 포인트</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종결권한 차등 게이팅</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상세화면을 3개 탭으로 구성하고 탭 단위 저장 플래그를 보유하여, 면책 종결은 ‘계약·사고정보 + 피해 진행정보 저장’을, 지급 종결은 여기에 더해 ‘현재 활성 탭이 청구 견적정보일 것’을 요구한다. 지급을 수반하는 종결에 더 강한 선행검증을 요구하고, 허용되지 않는 선택값은 허용값으로 자동 보정한다.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파손부위 이중 대조</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 부위를 24개 항목으로 코드화하여, 좌측에 정비공장이 청구한 부위를 읽기전용으로, 우측에 담당자가 손상 사진을 확대 열람하며 선택하는 편집영역을 병치한다. 담당자의 육안 판단이 코드 집합으로 구조화되어 청구 부위와의 차집합 연산이 가능해지고, 부위 대조 완료를 선행조건으로 수리 승인 지시가 송신된다.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지급성 결재 차등 인증</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지급(종결)·추가지급의 승인에만 인증정보 입력을 요구하고, 추산·면책종결·VOC 및 모든 반려에는 적용하지 않는다. 인증 성공 사실은 이력에 기록하지 않아 인증 기록의 오용을 방지한다.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품의서 단일 뷰 렌더링</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데이터로부터 문서번호·결재금액 강조밴드·정보군(사고/계약/피해/지급/종결/기존지급)·결재란을 갖는 품의서를 동적 생성한다. 결재자가 원장 화면으로 이동하지 않고 단일 뷰에서 판단하며, 결재금액과 근거 금액의 정합을 검증한다.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평가항목 마스터 기반 동적 폼</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협력업체 평가항목을 답변유형·입력UI·배점·정렬순서·사용여부를 갖는 마스터로 정의하고 답변옵션과 결합해 입력 컨트롤을 동적 생성한다. 평가 기준 변경이 코드 수정 없이 반영되고, 항목 논리삭제로 과거 평가 결과의 해석 가능성이 유지된다. 업체별 평가 비율·건수로 표본 쿼터를 제어한다.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만료·인증형 보안링크 발송</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사고 사진·서류를 직접 첨부하지 않고, 열람 만료일시가 지정되고 1회 인증 후 열람 가능한 보안링크로 발송하는 모드를 직접첨부 모드와 병행 제공한다. 개인정보가 포함된 자료의 무기한 잔존을 방지하며 발송 모드가 이력에 기록된다.</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동일 차량 다건 접수 연계</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차량번호·휴대폰 등 8종의 조회구분으로 검색 시 동일 차량의 복수 접수건(과거 종결건 포함)을 목록으로 제시한다. 단건 조회를 전제한 종래 접수화면과 달리 중복·연쇄 사고의 상호 참조가 가능하다.</w:t>
            </w:r>
          </w:p>
        </w:tc>
      </w:tr>
    </w:tbl>
    <w:p>
      <w:r>
        <w:br w:type="page"/>
      </w:r>
    </w:p>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Ⅴ. 프로세스 상세 (테이블)</w:t>
      </w:r>
    </w:p>
    <w:p>
      <w:pPr>
        <w:spacing w:after="100" w:before="40" w:line="300"/>
        <w:jc w:val="both"/>
      </w:pPr>
      <w:r>
        <w:rPr>
          <w:rFonts w:ascii="맑은 고딕" w:cs="맑은 고딕" w:eastAsia="맑은 고딕" w:hAnsi="맑은 고딕"/>
          <w:color w:val="1B2430"/>
          <w:sz w:val="20"/>
          <w:szCs w:val="20"/>
        </w:rPr>
        <w:t xml:space="preserve">본 장의 표는 명세서의 ‘발명을 실시하기 위한 구체적인 내용’ 및 도면(순서도·상태천이도)의 기초 자료로 사용할 수 있도록 각 처리의 입력·판정·출력·예외를 명시한 것이다.</w:t>
      </w:r>
    </w:p>
    <w:p>
      <w:pPr>
        <w:pStyle w:val="Heading2"/>
        <w:spacing w:after="120" w:before="280"/>
      </w:pPr>
      <w:r>
        <w:rPr>
          <w:rFonts w:ascii="맑은 고딕" w:cs="맑은 고딕" w:eastAsia="맑은 고딕" w:hAnsi="맑은 고딕"/>
          <w:b/>
          <w:bCs/>
          <w:color w:val="16337A"/>
          <w:sz w:val="23"/>
          <w:szCs w:val="23"/>
        </w:rPr>
        <w:t xml:space="preserve">5.1 무인 자동처리 판정 매트릭스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3300"/>
        <w:gridCol w:w="3320"/>
      </w:tblGrid>
      <w:tr>
        <w:trPr>
          <w:cantSplit/>
          <w:tblHeader/>
        </w:trPr>
        <w:tc>
          <w:tcPr>
            <w:tcW w:type="dxa" w:w="1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단계</w:t>
            </w:r>
          </w:p>
        </w:tc>
        <w:tc>
          <w:tcPr>
            <w:tcW w:type="dxa" w:w="10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순서</w:t>
            </w:r>
          </w:p>
        </w:tc>
        <w:tc>
          <w:tcPr>
            <w:tcW w:type="dxa" w:w="33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검증조건</w:t>
            </w:r>
          </w:p>
        </w:tc>
        <w:tc>
          <w:tcPr>
            <w:tcW w:type="dxa" w:w="33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불통과 시 기록되는 정지사유</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1. 접수·선견적</w:t>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운전자 개인정보 동의 확보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운전자 개인정보 동의 미확보</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②</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계약정보 확인 완료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계약정보 확인 필요</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 수리 승인</w:t>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선견적 수신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선견적 미수신</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②</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 확정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 미확정</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3. 손해사정</w:t>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수신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청구서 미수신</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②</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파손부위 사진 확인 가능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파손부위 사진 확인 불가</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③</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견적 적정 여부</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 견적 과다</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4. 지급·정산</w:t>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①</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청구금액 ≤ 선견적금액 × 1.15</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선견적 대비 청구금액 과다</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②</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청구금액 ≤ 자동 지급한도</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 지급한도 초과</w:t>
            </w:r>
          </w:p>
        </w:tc>
      </w:tr>
      <w:tr>
        <w:trPr>
          <w:cantSplit/>
          <w:tblHeader w:val="false"/>
        </w:trPr>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완료</w:t>
            </w:r>
          </w:p>
        </w:tc>
        <w:tc>
          <w:tcPr>
            <w:tcW w:type="dxa" w:w="1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 단계 통과</w:t>
            </w:r>
          </w:p>
        </w:tc>
        <w:tc>
          <w:tcPr>
            <w:tcW w:type="dxa" w:w="3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무인 완료 → 미결 목록에서 제거</w:t>
            </w:r>
          </w:p>
        </w:tc>
      </w:tr>
    </w:tbl>
    <w:p>
      <w:pPr>
        <w:spacing w:after="160" w:before="60" w:line="280"/>
      </w:pPr>
      <w:r>
        <w:rPr>
          <w:rFonts w:ascii="맑은 고딕" w:cs="맑은 고딕" w:eastAsia="맑은 고딕" w:hAnsi="맑은 고딕"/>
          <w:b w:val="false"/>
          <w:bCs w:val="false"/>
          <w:color w:val="4A5567"/>
          <w:sz w:val="17"/>
          <w:szCs w:val="17"/>
        </w:rPr>
        <w:t xml:space="preserve">※ 처리 종료 시 자동 완료 건수, 사람 확인 건수, 자동화율, 자동 처리분의 수작업 환산시간 대비 실제 소요시간이 함께 산출된다.</w:t>
      </w:r>
    </w:p>
    <w:p>
      <w:pPr>
        <w:pStyle w:val="Heading2"/>
        <w:spacing w:after="120" w:before="280"/>
      </w:pPr>
      <w:r>
        <w:rPr>
          <w:rFonts w:ascii="맑은 고딕" w:cs="맑은 고딕" w:eastAsia="맑은 고딕" w:hAnsi="맑은 고딕"/>
          <w:b/>
          <w:bCs/>
          <w:color w:val="16337A"/>
          <w:sz w:val="23"/>
          <w:szCs w:val="23"/>
        </w:rPr>
        <w:t xml:space="preserve">5.2 지급결의 → 지급결재 시퀀스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3400"/>
        <w:gridCol w:w="2820"/>
      </w:tblGrid>
      <w:tr>
        <w:trPr>
          <w:cantSplit/>
          <w:tblHeader/>
        </w:trPr>
        <w:tc>
          <w:tcPr>
            <w:tcW w:type="dxa" w:w="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No</w:t>
            </w:r>
          </w:p>
        </w:tc>
        <w:tc>
          <w:tcPr>
            <w:tcW w:type="dxa" w:w="2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조작</w:t>
            </w:r>
          </w:p>
        </w:tc>
        <w:tc>
          <w:tcPr>
            <w:tcW w:type="dxa" w:w="3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시스템 처리</w:t>
            </w:r>
          </w:p>
        </w:tc>
        <w:tc>
          <w:tcPr>
            <w:tcW w:type="dxa" w:w="28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채번 / 상태</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1</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 내역 확정</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라인아이템별 청구금액·손해사정금액·불인 여부 확정. 불인 항목은 손해사정금액 0으로 산입</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채번 없음</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저장</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 확정 여부 검증 → 미저장 견적과 추가 청구 내역을 각각의 결의로 연속 생성. 재원 정산액이 있으면 손해사정금액 대체</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결의순번 +1 (유형별 순차) / 상태=결재 전</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3</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선택</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상태별 권한 매트릭스로 선택 가능한 결의만 체크 허용(전체선택 포함)</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상태 불변</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4</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상신</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선택 결의 상태 재검증 → 확정시점 과실률과 현재 과실률 재대조 → 결재의견 필수 → 인증정보 검증 → 최종 지급예정금액 합산</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결재순번 +1 (결의 N건 → 결재 1건) / 결의 상태=상신중 잠금</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5</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승인</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상태를 결재완료로 전이하고 연결 결의 전체로 역전파. 현재 연결은 유지</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상태=결재완료 (수정·삭제 불가)</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6</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반려 / 상신취소</w:t>
            </w:r>
          </w:p>
        </w:tc>
        <w:tc>
          <w:tcPr>
            <w:tcW w:type="dxa" w:w="3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반려 시 사유 필수. 결재 ID를 결의 이력으로 이관하고 현재 연결 해제</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상태=반려 / 상신취소 (재작업 가능)</w:t>
            </w:r>
          </w:p>
        </w:tc>
      </w:tr>
    </w:tbl>
    <w:p>
      <w:pPr>
        <w:pStyle w:val="Heading2"/>
        <w:spacing w:after="120" w:before="280"/>
      </w:pPr>
      <w:r>
        <w:rPr>
          <w:rFonts w:ascii="맑은 고딕" w:cs="맑은 고딕" w:eastAsia="맑은 고딕" w:hAnsi="맑은 고딕"/>
          <w:b/>
          <w:bCs/>
          <w:color w:val="16337A"/>
          <w:sz w:val="23"/>
          <w:szCs w:val="23"/>
        </w:rPr>
        <w:t xml:space="preserve">5.3 지급결의 상태 × 조작 권한</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400"/>
        <w:gridCol w:w="1500"/>
        <w:gridCol w:w="1520"/>
      </w:tblGrid>
      <w:tr>
        <w:trPr>
          <w:cantSplit/>
          <w:tblHeader/>
        </w:trPr>
        <w:tc>
          <w:tcPr>
            <w:tcW w:type="dxa" w:w="18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결의 상태</w:t>
            </w:r>
          </w:p>
        </w:tc>
        <w:tc>
          <w:tcPr>
            <w:tcW w:type="dxa" w:w="1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선택</w:t>
            </w:r>
          </w:p>
        </w:tc>
        <w:tc>
          <w:tcPr>
            <w:tcW w:type="dxa" w:w="1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수정</w:t>
            </w:r>
          </w:p>
        </w:tc>
        <w:tc>
          <w:tcPr>
            <w:tcW w:type="dxa" w:w="1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삭제</w:t>
            </w:r>
          </w:p>
        </w:tc>
        <w:tc>
          <w:tcPr>
            <w:tcW w:type="dxa" w:w="1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결재상신</w:t>
            </w:r>
          </w:p>
        </w:tc>
        <w:tc>
          <w:tcPr>
            <w:tcW w:type="dxa" w:w="1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비고</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전</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정상 작업 상태</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상신중</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진행 중 잠금</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반려</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이전 결재 ID는 이력으로 보존</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상신취소</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이전 결재 ID는 이력으로 보존</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결재완료</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금액·포함 결의 고정</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재확인 필요</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불가</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가능</w:t>
            </w:r>
          </w:p>
        </w:tc>
        <w:tc>
          <w:tcPr>
            <w:tcW w:type="dxa" w:w="1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재확정 후 가능</w:t>
            </w:r>
          </w:p>
        </w:tc>
        <w:tc>
          <w:tcPr>
            <w:tcW w:type="dxa" w:w="1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과실률 변경으로 강등된 상태</w:t>
            </w:r>
          </w:p>
        </w:tc>
      </w:tr>
    </w:tbl>
    <w:p>
      <w:pPr>
        <w:pStyle w:val="Heading2"/>
        <w:spacing w:after="120" w:before="280"/>
      </w:pPr>
      <w:r>
        <w:rPr>
          <w:rFonts w:ascii="맑은 고딕" w:cs="맑은 고딕" w:eastAsia="맑은 고딕" w:hAnsi="맑은 고딕"/>
          <w:b/>
          <w:bCs/>
          <w:color w:val="16337A"/>
          <w:sz w:val="23"/>
          <w:szCs w:val="23"/>
        </w:rPr>
        <w:t xml:space="preserve">5.4 과실률 상태에 따른 조작 제어</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3220"/>
      </w:tblGrid>
      <w:tr>
        <w:trPr>
          <w:cantSplit/>
          <w:tblHeader/>
        </w:trPr>
        <w:tc>
          <w:tcPr>
            <w:tcW w:type="dxa" w:w="24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대상 조작</w:t>
            </w:r>
          </w:p>
        </w:tc>
        <w:tc>
          <w:tcPr>
            <w:tcW w:type="dxa" w:w="1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과실률 미확정</w:t>
            </w:r>
          </w:p>
        </w:tc>
        <w:tc>
          <w:tcPr>
            <w:tcW w:type="dxa" w:w="1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과실률 확정</w:t>
            </w:r>
          </w:p>
        </w:tc>
        <w:tc>
          <w:tcPr>
            <w:tcW w:type="dxa" w:w="32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확정 후 과실률이 변경된 경우</w:t>
            </w:r>
          </w:p>
        </w:tc>
      </w:tr>
      <w:tr>
        <w:trPr>
          <w:cantSplit/>
          <w:tblHeader w:val="false"/>
        </w:trPr>
        <w:tc>
          <w:tcPr>
            <w:tcW w:type="dxa" w:w="2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조회 · 내역 입력</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허용</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허용</w:t>
            </w:r>
          </w:p>
        </w:tc>
        <w:tc>
          <w:tcPr>
            <w:tcW w:type="dxa" w:w="32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영향 없음</w:t>
            </w:r>
          </w:p>
        </w:tc>
      </w:tr>
      <w:tr>
        <w:trPr>
          <w:cantSplit/>
          <w:tblHeader w:val="false"/>
        </w:trPr>
        <w:tc>
          <w:tcPr>
            <w:tcW w:type="dxa" w:w="2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확정 / 재확정</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차단</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허용</w:t>
            </w:r>
          </w:p>
        </w:tc>
        <w:tc>
          <w:tcPr>
            <w:tcW w:type="dxa" w:w="32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 전 → 재확인 필요로 강등, 최신 과실률로 재계산</w:t>
            </w:r>
          </w:p>
        </w:tc>
      </w:tr>
      <w:tr>
        <w:trPr>
          <w:cantSplit/>
          <w:tblHeader w:val="false"/>
        </w:trPr>
        <w:tc>
          <w:tcPr>
            <w:tcW w:type="dxa" w:w="2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선택 · 선택삭제</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차단</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허용</w:t>
            </w:r>
          </w:p>
        </w:tc>
        <w:tc>
          <w:tcPr>
            <w:tcW w:type="dxa" w:w="32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재확인 필요 상태는 선택 불가</w:t>
            </w:r>
          </w:p>
        </w:tc>
      </w:tr>
      <w:tr>
        <w:trPr>
          <w:cantSplit/>
          <w:tblHeader w:val="false"/>
        </w:trPr>
        <w:tc>
          <w:tcPr>
            <w:tcW w:type="dxa" w:w="2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지급결재 상신</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차단</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허용</w:t>
            </w:r>
          </w:p>
        </w:tc>
        <w:tc>
          <w:tcPr>
            <w:tcW w:type="dxa" w:w="32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상신중은 자동 변경 없음(경고만). 확정시점 과실률 불일치 시 상신 차단</w:t>
            </w:r>
          </w:p>
        </w:tc>
      </w:tr>
      <w:tr>
        <w:trPr>
          <w:cantSplit/>
          <w:tblHeader w:val="false"/>
        </w:trPr>
        <w:tc>
          <w:tcPr>
            <w:tcW w:type="dxa" w:w="24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결재완료 건</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w:t>
            </w:r>
          </w:p>
        </w:tc>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w:t>
            </w:r>
          </w:p>
        </w:tc>
        <w:tc>
          <w:tcPr>
            <w:tcW w:type="dxa" w:w="32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 변경 없음. 추가지급·환입은 신규 결의로 처리</w:t>
            </w:r>
          </w:p>
        </w:tc>
      </w:tr>
    </w:tbl>
    <w:p>
      <w:pPr>
        <w:pStyle w:val="Heading2"/>
        <w:spacing w:after="120" w:before="280"/>
      </w:pPr>
      <w:r>
        <w:rPr>
          <w:rFonts w:ascii="맑은 고딕" w:cs="맑은 고딕" w:eastAsia="맑은 고딕" w:hAnsi="맑은 고딕"/>
          <w:b/>
          <w:bCs/>
          <w:color w:val="16337A"/>
          <w:sz w:val="23"/>
          <w:szCs w:val="23"/>
        </w:rPr>
        <w:t xml:space="preserve">5.5 순환배당 판정 시퀀스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200"/>
        <w:gridCol w:w="2820"/>
      </w:tblGrid>
      <w:tr>
        <w:trPr>
          <w:cantSplit/>
          <w:tblHeader/>
        </w:trPr>
        <w:tc>
          <w:tcPr>
            <w:tcW w:type="dxa" w:w="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순서</w:t>
            </w:r>
          </w:p>
        </w:tc>
        <w:tc>
          <w:tcPr>
            <w:tcW w:type="dxa" w:w="23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판정 항목</w:t>
            </w:r>
          </w:p>
        </w:tc>
        <w:tc>
          <w:tcPr>
            <w:tcW w:type="dxa" w:w="32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판정 내용</w:t>
            </w:r>
          </w:p>
        </w:tc>
        <w:tc>
          <w:tcPr>
            <w:tcW w:type="dxa" w:w="28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결과</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1</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적용 여부</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적용안함으로 설정된 직원</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제외 · “적용안함”</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배당방식</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배당제외 (센터장·부장 등)</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제외 · “배당제외 설정”</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3</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배당상태</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배당중지</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제외 · “배당중지”</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4</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부재 판정</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기준시점이 부재 시작~종료 구간 내</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제외 · “부재중”</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5</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일 배당한도</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현재 배당건수 ≥ 일 배당한도 (무제한 설정 제외)</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제외 · “일 배당한도 초과”</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6</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그룹 매칭</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‘전체’=항상 매칭, ‘제외’=항상 미매칭, 그 외 동일값 매칭</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불일치 시 제외 · 그룹 불일치 사유</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7</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계층 산출</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업체순환=업체매칭(0) / 지역순환=지역매칭(1) / 지역+업체순환=업체(0)→지역(1)→공통(2)</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후보에 계층값 부여</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8</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정렬</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계층 오름차순 → 현재 배당건수 오름차순 → 사번 비교</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배당 순번 확정</w:t>
            </w:r>
          </w:p>
        </w:tc>
      </w:tr>
      <w:tr>
        <w:trPr>
          <w:cantSplit/>
          <w:tblHeader w:val="false"/>
        </w:trPr>
        <w:tc>
          <w:tcPr>
            <w:tcW w:type="dxa" w:w="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9</w:t>
            </w:r>
          </w:p>
        </w:tc>
        <w:tc>
          <w:tcPr>
            <w:tcW w:type="dxa" w:w="2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확정</w:t>
            </w:r>
          </w:p>
        </w:tc>
        <w:tc>
          <w:tcPr>
            <w:tcW w:type="dxa" w:w="3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순번 1위</w:t>
            </w:r>
          </w:p>
        </w:tc>
        <w:tc>
          <w:tcPr>
            <w:tcW w:type="dxa" w:w="2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최종 배당예정자</w:t>
            </w:r>
          </w:p>
        </w:tc>
      </w:tr>
    </w:tbl>
    <w:p>
      <w:pPr>
        <w:pStyle w:val="Heading2"/>
        <w:spacing w:after="120" w:before="280"/>
      </w:pPr>
      <w:r>
        <w:rPr>
          <w:rFonts w:ascii="맑은 고딕" w:cs="맑은 고딕" w:eastAsia="맑은 고딕" w:hAnsi="맑은 고딕"/>
          <w:b/>
          <w:bCs/>
          <w:color w:val="16337A"/>
          <w:sz w:val="23"/>
          <w:szCs w:val="23"/>
        </w:rPr>
        <w:t xml:space="preserve">5.6 심사 판정 매트릭스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2100"/>
        <w:gridCol w:w="1920"/>
      </w:tblGrid>
      <w:tr>
        <w:trPr>
          <w:cantSplit/>
          <w:tblHeader/>
        </w:trPr>
        <w:tc>
          <w:tcPr>
            <w:tcW w:type="dxa" w:w="18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판정</w:t>
            </w:r>
          </w:p>
        </w:tc>
        <w:tc>
          <w:tcPr>
            <w:tcW w:type="dxa" w:w="16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합산점수</w:t>
            </w:r>
          </w:p>
        </w:tc>
        <w:tc>
          <w:tcPr>
            <w:tcW w:type="dxa" w:w="16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신뢰도</w:t>
            </w:r>
          </w:p>
        </w:tc>
        <w:tc>
          <w:tcPr>
            <w:tcW w:type="dxa" w:w="21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성립 조건</w:t>
            </w:r>
          </w:p>
        </w:tc>
        <w:tc>
          <w:tcPr>
            <w:tcW w:type="dxa" w:w="19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후속 조치</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자료대기</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미산출</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미산출</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사진 또는 견적·청구서 부재</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부족 자료를 특정하여 요청 발송</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적정</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상위 임계 이상</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기준값 이상</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 항목 감점 경미</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승인금액 확정 · 검토회신 발송</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조건부 적정</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중위 구간</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기준값 이상</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일부 항목 근거 부족</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일부 승인 · 항목별 사유 부기 · 추가자료 요청</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보류</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하위 구간</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기준값 이상</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다수 항목 근거 부족</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담당자 직접 확인</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보류 (강제)</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임계 무관</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기준값 미만</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점수와 무관하게 판정 치환</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치환 사유 기록 · 자료 재요청 후 재심사</w:t>
            </w:r>
          </w:p>
        </w:tc>
      </w:tr>
      <w:tr>
        <w:trPr>
          <w:cantSplit/>
          <w:tblHeader w:val="false"/>
        </w:trPr>
        <w:tc>
          <w:tcPr>
            <w:tcW w:type="dxa" w:w="18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부적정</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최하 구간</w:t>
            </w:r>
          </w:p>
        </w:tc>
        <w:tc>
          <w:tcPr>
            <w:tcW w:type="dxa" w:w="1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기준값 이상</w:t>
            </w:r>
          </w:p>
        </w:tc>
        <w:tc>
          <w:tcPr>
            <w:tcW w:type="dxa" w:w="21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 범위가 확인된 파손보다 현저히 큼</w:t>
            </w:r>
          </w:p>
        </w:tc>
        <w:tc>
          <w:tcPr>
            <w:tcW w:type="dxa" w:w="19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부적정 회신 · 재견적 요구</w:t>
            </w:r>
          </w:p>
        </w:tc>
      </w:tr>
    </w:tbl>
    <w:p>
      <w:pPr>
        <w:spacing w:after="160" w:before="60" w:line="280"/>
      </w:pPr>
      <w:r>
        <w:rPr>
          <w:rFonts w:ascii="맑은 고딕" w:cs="맑은 고딕" w:eastAsia="맑은 고딕" w:hAnsi="맑은 고딕"/>
          <w:b w:val="false"/>
          <w:bCs w:val="false"/>
          <w:color w:val="4A5567"/>
          <w:sz w:val="17"/>
          <w:szCs w:val="17"/>
        </w:rPr>
        <w:t xml:space="preserve">※ 배점표는 심사 종류에 따라 분기한다. 수리 전 견적심사 = 사고내용·파손형태 일치 / 사진·견적 부위 일치 / 수리방법 적정성 / 부품·공임·도장비 적정성 / 중복 청구 / 기존손상·사고무관의 6항목 100점. 수리 후 청구심사 = 승인견적·청구서 일치 / 추가수리 근거 / 실제 수리 여부 / 미승인 항목 청구 / 청구금액 적정성 / 면책금·기지급금 반영의 6항목 100점. 구체적 임계값은 명세서에만 개시하고 청구항에는 ‘소정의 임계값’으로 기재할 것을 권고한다.</w:t>
      </w:r>
    </w:p>
    <w:p>
      <w:pPr>
        <w:pStyle w:val="Heading2"/>
        <w:spacing w:after="120" w:before="280"/>
      </w:pPr>
      <w:r>
        <w:rPr>
          <w:rFonts w:ascii="맑은 고딕" w:cs="맑은 고딕" w:eastAsia="맑은 고딕" w:hAnsi="맑은 고딕"/>
          <w:b/>
          <w:bCs/>
          <w:color w:val="16337A"/>
          <w:sz w:val="23"/>
          <w:szCs w:val="23"/>
        </w:rPr>
        <w:t xml:space="preserve">5.7 금액 산출식</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6520"/>
      </w:tblGrid>
      <w:tr>
        <w:trPr>
          <w:cantSplit/>
          <w:tblHeader/>
        </w:trPr>
        <w:tc>
          <w:tcPr>
            <w:tcW w:type="dxa" w:w="25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65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산출식</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청구금액 합계</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Σ(라인아이템 청구금액)</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손해사정금액 합계</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Σ(라인아이템 손해사정금액), 불인 항목은 0으로 산입</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과실상계금액</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손해사정금액 합계 × 자차 과실률 (청구금액에는 적용하지 않음)</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최종 지급예정금액</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손해사정금액 합계 − 과실상계금액</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정비 재원 지급액</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(공임소계 + 부품소계) + 부가세 − 자기부담금액</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공임소계</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탈착교환 + 판금교정 + 견인구난비 + 도장정산(도장재료대 + 도장공임 + 할증공임 + 가열건조비)</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부품·유리 재원 합계</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과세표준 + 부가세 − 과실상계액   (과세표준 = 부품소계 − 할인금액 − 감가상각 − 잔존물)</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결재금액</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선택된 지급결의들의 최종 지급예정금액 합계</w:t>
            </w:r>
          </w:p>
        </w:tc>
      </w:tr>
      <w:tr>
        <w:trPr>
          <w:cantSplit/>
          <w:tblHeader w:val="false"/>
        </w:trPr>
        <w:tc>
          <w:tcPr>
            <w:tcW w:type="dxa" w:w="25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인정금액 / 인정률</w:t>
            </w:r>
          </w:p>
        </w:tc>
        <w:tc>
          <w:tcPr>
            <w:tcW w:type="dxa" w:w="65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라인아이템 청구금액 합계 − 제외 항목 합계 / 인정금액 ÷ 청구금액 합계</w:t>
            </w:r>
          </w:p>
        </w:tc>
      </w:tr>
    </w:tbl>
    <w:p>
      <w:r>
        <w:br w:type="page"/>
      </w:r>
    </w:p>
    <w:p>
      <w:pPr>
        <w:pStyle w:val="Heading1"/>
        <w:pBdr>
          <w:bottom w:val="single" w:color="1D4ED8" w:sz="12" w:space="4"/>
        </w:pBdr>
        <w:spacing w:after="160" w:before="360"/>
      </w:pPr>
      <w:r>
        <w:rPr>
          <w:rFonts w:ascii="맑은 고딕" w:cs="맑은 고딕" w:eastAsia="맑은 고딕" w:hAnsi="맑은 고딕"/>
          <w:b/>
          <w:bCs/>
          <w:color w:val="1D4ED8"/>
          <w:sz w:val="28"/>
          <w:szCs w:val="28"/>
        </w:rPr>
        <w:t xml:space="preserve">Ⅵ. 청구항 구성 방향과 검토 의견</w:t>
      </w:r>
    </w:p>
    <w:p>
      <w:pPr>
        <w:pStyle w:val="Heading2"/>
        <w:spacing w:after="120" w:before="280"/>
      </w:pPr>
      <w:r>
        <w:rPr>
          <w:rFonts w:ascii="맑은 고딕" w:cs="맑은 고딕" w:eastAsia="맑은 고딕" w:hAnsi="맑은 고딕"/>
          <w:b/>
          <w:bCs/>
          <w:color w:val="16337A"/>
          <w:sz w:val="23"/>
          <w:szCs w:val="23"/>
        </w:rPr>
        <w:t xml:space="preserve">6.1 독립항 후보</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900"/>
        <w:gridCol w:w="1620"/>
      </w:tblGrid>
      <w:tr>
        <w:trPr>
          <w:cantSplit/>
          <w:tblHeader/>
        </w:trPr>
        <w:tc>
          <w:tcPr>
            <w:tcW w:type="dxa" w:w="9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26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발명의 명칭(가칭)</w:t>
            </w:r>
          </w:p>
        </w:tc>
        <w:tc>
          <w:tcPr>
            <w:tcW w:type="dxa" w:w="39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핵심 구성요소</w:t>
            </w:r>
          </w:p>
        </w:tc>
        <w:tc>
          <w:tcPr>
            <w:tcW w:type="dxa" w:w="16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근거</w:t>
            </w:r>
          </w:p>
        </w:tc>
      </w:tr>
      <w:tr>
        <w:trPr>
          <w:cantSplit/>
          <w:tblHeader w:val="false"/>
        </w:trPr>
        <w:tc>
          <w:tcPr>
            <w:tcW w:type="dxa" w:w="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제1군</w:t>
            </w:r>
          </w:p>
        </w:tc>
        <w:tc>
          <w:tcPr>
            <w:tcW w:type="dxa" w:w="2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차량 클레임의 미결 분류 및 무인 자동처리 시스템</w:t>
            </w:r>
          </w:p>
        </w:tc>
        <w:tc>
          <w:tcPr>
            <w:tcW w:type="dxa" w:w="3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진행단계·정지사유를 독립 필드로 저장하는 저장부 / 단계별 검증조건을 순차 판정하는 판정부 / 전 단계 통과 시 무인 완료하고 불통과 시 정지단계·사유를 기록해 미결 목록에 잔류시키는 제어부 / 2축 교차 필터링부</w:t>
            </w:r>
          </w:p>
        </w:tc>
        <w:tc>
          <w:tcPr>
            <w:tcW w:type="dxa" w:w="1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차별점 1, 2</w:t>
            </w:r>
          </w:p>
        </w:tc>
      </w:tr>
      <w:tr>
        <w:trPr>
          <w:cantSplit/>
          <w:tblHeader w:val="false"/>
        </w:trPr>
        <w:tc>
          <w:tcPr>
            <w:tcW w:type="dxa" w:w="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제2군</w:t>
            </w:r>
          </w:p>
        </w:tc>
        <w:tc>
          <w:tcPr>
            <w:tcW w:type="dxa" w:w="2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지급결의와 지급결재를 분리 채번하는 합산 결재 시스템</w:t>
            </w:r>
          </w:p>
        </w:tc>
        <w:tc>
          <w:tcPr>
            <w:tcW w:type="dxa" w:w="3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결의·결재를 독립 채번하는 채번부 / 복수 결의를 합산해 단일 결재를 생성하는 생성부 / 결재 상태를 연결 결의로 역전파하는 동기화부 / 상태별 조작 권한 매트릭스</w:t>
            </w:r>
          </w:p>
        </w:tc>
        <w:tc>
          <w:tcPr>
            <w:tcW w:type="dxa" w:w="1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차별점 3</w:t>
            </w:r>
          </w:p>
        </w:tc>
      </w:tr>
      <w:tr>
        <w:trPr>
          <w:cantSplit/>
          <w:tblHeader w:val="false"/>
        </w:trPr>
        <w:tc>
          <w:tcPr>
            <w:tcW w:type="dxa" w:w="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제3군</w:t>
            </w:r>
          </w:p>
        </w:tc>
        <w:tc>
          <w:tcPr>
            <w:tcW w:type="dxa" w:w="2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금액 전제의 확정상태에 연동되는 결의 상태 제어 시스템</w:t>
            </w:r>
          </w:p>
        </w:tc>
        <w:tc>
          <w:tcPr>
            <w:tcW w:type="dxa" w:w="3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전제값의 값과 확정여부를 분리 관리하는 상태 관리부 / 미확정 시 확정계 조작을 비활성화하는 제어부 / 변경 시 진행상태별로 대상을 선별해 재확인 상태로 전이·재계산하는 재검증부 / 상신 시 재대조 검증부</w:t>
            </w:r>
          </w:p>
        </w:tc>
        <w:tc>
          <w:tcPr>
            <w:tcW w:type="dxa" w:w="1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차별점 4</w:t>
            </w:r>
          </w:p>
        </w:tc>
      </w:tr>
      <w:tr>
        <w:trPr>
          <w:cantSplit/>
          <w:tblHeader w:val="false"/>
        </w:trPr>
        <w:tc>
          <w:tcPr>
            <w:tcW w:type="dxa" w:w="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제4군</w:t>
            </w:r>
          </w:p>
        </w:tc>
        <w:tc>
          <w:tcPr>
            <w:tcW w:type="dxa" w:w="2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신뢰도 임계에 의한 강제보류를 포함하는 견적 심사 시스템</w:t>
            </w:r>
          </w:p>
        </w:tc>
        <w:tc>
          <w:tcPr>
            <w:tcW w:type="dxa" w:w="3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종류별 배점 항목을 선택 적용하는 배점부 / 합산점수를 다단 임계로 1차 판정하는 판정부 / 신뢰도 미달 시 판정을 치환하고 사유를 기록하는 강제보류부 / 라인아이템별 인정금액 산정부</w:t>
            </w:r>
          </w:p>
        </w:tc>
        <w:tc>
          <w:tcPr>
            <w:tcW w:type="dxa" w:w="1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차별점 6</w:t>
            </w:r>
          </w:p>
        </w:tc>
      </w:tr>
      <w:tr>
        <w:trPr>
          <w:cantSplit/>
          <w:tblHeader w:val="false"/>
        </w:trPr>
        <w:tc>
          <w:tcPr>
            <w:tcW w:type="dxa" w:w="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제5군</w:t>
            </w:r>
          </w:p>
        </w:tc>
        <w:tc>
          <w:tcPr>
            <w:tcW w:type="dxa" w:w="26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다단 배제판정 및 결정론적 정렬에 의한 사고건 자동 배당 시스템</w:t>
            </w:r>
          </w:p>
        </w:tc>
        <w:tc>
          <w:tcPr>
            <w:tcW w:type="dxa" w:w="39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배제조건을 정의 순서로 단락 평가해 단일 제외사유를 확정하는 배제 판정부 / 그룹 매칭 계층 산출부 / 계층·배당건수·식별자의 다단 정렬부 / 무저장 시뮬레이션부</w:t>
            </w:r>
          </w:p>
        </w:tc>
        <w:tc>
          <w:tcPr>
            <w:tcW w:type="dxa" w:w="16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차별점 7</w:t>
            </w:r>
          </w:p>
        </w:tc>
      </w:tr>
    </w:tbl>
    <w:p>
      <w:pPr>
        <w:spacing w:after="160" w:before="60" w:line="280"/>
      </w:pPr>
      <w:r>
        <w:rPr>
          <w:rFonts w:ascii="맑은 고딕" w:cs="맑은 고딕" w:eastAsia="맑은 고딕" w:hAnsi="맑은 고딕"/>
          <w:b w:val="false"/>
          <w:bCs w:val="false"/>
          <w:color w:val="4A5567"/>
          <w:sz w:val="17"/>
          <w:szCs w:val="17"/>
        </w:rPr>
        <w:t xml:space="preserve">※ 차별점 5(외부 견적 스냅샷·재원 정산 대체)는 제2군 또는 제3군의 종속항으로, ‘그 밖의 차별 구성’은 각 군의 종속항 및 실시예로 배치할 것을 권고한다.</w:t>
      </w:r>
    </w:p>
    <w:p>
      <w:pPr>
        <w:pStyle w:val="Heading2"/>
        <w:spacing w:after="120" w:before="280"/>
      </w:pPr>
      <w:r>
        <w:rPr>
          <w:rFonts w:ascii="맑은 고딕" w:cs="맑은 고딕" w:eastAsia="맑은 고딕" w:hAnsi="맑은 고딕"/>
          <w:b/>
          <w:bCs/>
          <w:color w:val="16337A"/>
          <w:sz w:val="23"/>
          <w:szCs w:val="23"/>
        </w:rPr>
        <w:t xml:space="preserve">6.2 유리한 점</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각 차별점이 ‘입력값 → 판정식 → 상태 전이 → 출력 제어’로 구체화되어 있어, 업무방법의 단순 서술이 아닌 정보처리 수단으로 청구항을 구성할 수 있다.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차별점 3(이원 채번과 역전파)과 차별점 4(확정상태 기반 강등)는 데이터 구조 자체의 설계이므로, ‘영업방법의 단순 자동화’라는 거절이유에 대한 반박 논거가 비교적 명확하다.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구성들이 하나의 처리 체인을 이룬다(자동처리 정지사유 → 미결 분류 → 담당자 처리 → 결의 → 결재 → 종결). 조합에 의한 상승효과를 진보성 논거로 사용할 수 있다.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렌터카·리스 도메인의 특수성(면책·지급 종결의 이원성, 복수 지급처 청구서, 임대차계약 기반 면책금)이 구성에 반영되어 있어 보험 보상시스템 선행문헌과의 구성상 차이를 설명하기 쉽다.</w:t>
      </w:r>
    </w:p>
    <w:p>
      <w:pPr>
        <w:pStyle w:val="Heading2"/>
        <w:spacing w:after="120" w:before="280"/>
      </w:pPr>
      <w:r>
        <w:rPr>
          <w:rFonts w:ascii="맑은 고딕" w:cs="맑은 고딕" w:eastAsia="맑은 고딕" w:hAnsi="맑은 고딕"/>
          <w:b/>
          <w:bCs/>
          <w:color w:val="16337A"/>
          <w:sz w:val="23"/>
          <w:szCs w:val="23"/>
        </w:rPr>
        <w:t xml:space="preserve">6.3 예상 거절이유와 대응 방향</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0"/>
      </w:tblGrid>
      <w:tr>
        <w:trPr>
          <w:cantSplit/>
          <w:tblHeader/>
        </w:trPr>
        <w:tc>
          <w:tcPr>
            <w:tcW w:type="dxa" w:w="20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예상 거절이유</w:t>
            </w:r>
          </w:p>
        </w:tc>
        <w:tc>
          <w:tcPr>
            <w:tcW w:type="dxa" w:w="33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취지</w:t>
            </w:r>
          </w:p>
        </w:tc>
        <w:tc>
          <w:tcPr>
            <w:tcW w:type="dxa" w:w="37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대응 방향</w:t>
            </w:r>
          </w:p>
        </w:tc>
      </w:tr>
      <w:tr>
        <w:trPr>
          <w:cantSplit/>
          <w:tblHeader w:val="false"/>
        </w:trPr>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발명의 성립성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사람의 업무처리 순서를 컴퓨터로 옮긴 것에 불과</w:t>
            </w:r>
          </w:p>
        </w:tc>
        <w:tc>
          <w:tcPr>
            <w:tcW w:type="dxa" w:w="37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청구항에 하드웨어(프로세서·저장부·통신부)와의 협동을 명시하고, 판정식·임계·상태 전이·데이터 구조를 구성요소로 특정. 효과를 ‘업무 편의’가 아니라 ‘오상신 차단’, ‘결정론적 배당’ 등 기술적 효과로 기재</w:t>
            </w:r>
          </w:p>
        </w:tc>
      </w:tr>
      <w:tr>
        <w:trPr>
          <w:cantSplit/>
          <w:tblHeader w:val="false"/>
        </w:trPr>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신규성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2축 분류, 전자결재 합산 등 개별 요소의 공지</w:t>
            </w:r>
          </w:p>
        </w:tc>
        <w:tc>
          <w:tcPr>
            <w:tcW w:type="dxa" w:w="37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개별 요소가 아닌 조합과 구체적 판정규칙으로 청구항을 구성</w:t>
            </w:r>
          </w:p>
        </w:tc>
      </w:tr>
      <w:tr>
        <w:trPr>
          <w:cantSplit/>
          <w:tblHeader w:val="false"/>
        </w:trPr>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진보성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공지 요소의 단순 조합</w:t>
            </w:r>
          </w:p>
        </w:tc>
        <w:tc>
          <w:tcPr>
            <w:tcW w:type="dxa" w:w="37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상승효과의 인과관계를 명세서에 명시. 예: 역전파가 없으면 반려 시 재작업 대상을 특정할 수 없고, 확정상태 강등이 없으면 구 전제 기반 상신을 막을 수 없다는 관계</w:t>
            </w:r>
          </w:p>
        </w:tc>
      </w:tr>
      <w:tr>
        <w:trPr>
          <w:cantSplit/>
          <w:tblHeader w:val="false"/>
        </w:trPr>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실시가능요건</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심사·연동의 구체적 구현이 개시되지 않음</w:t>
            </w:r>
          </w:p>
        </w:tc>
        <w:tc>
          <w:tcPr>
            <w:tcW w:type="dxa" w:w="37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추론 모델이나 외부 인터페이스 자체를 청구하지 않고, ‘점수와 신뢰도를 입력받아 처리하는 후단 구성’, ‘스냅샷을 수신하여 처리하는 구성’으로 한정 (6.4 참조)</w:t>
            </w:r>
          </w:p>
        </w:tc>
      </w:tr>
      <w:tr>
        <w:trPr>
          <w:cantSplit/>
          <w:tblHeader w:val="false"/>
        </w:trPr>
        <w:tc>
          <w:tcPr>
            <w:tcW w:type="dxa" w:w="20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명확성</w:t>
            </w:r>
          </w:p>
        </w:tc>
        <w:tc>
          <w:tcPr>
            <w:tcW w:type="dxa" w:w="33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‘적정’, ‘과다’ 등 정성 용어</w:t>
            </w:r>
          </w:p>
        </w:tc>
        <w:tc>
          <w:tcPr>
            <w:tcW w:type="dxa" w:w="37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임계값·배수·한도를 명세서에 수치로 개시하고, 청구항에는 ‘소정의 임계값’으로 기재한 뒤 종속항에서 수치 한정</w:t>
            </w:r>
          </w:p>
        </w:tc>
      </w:tr>
    </w:tbl>
    <w:p>
      <w:pPr>
        <w:pStyle w:val="Heading2"/>
        <w:spacing w:after="120" w:before="280"/>
      </w:pPr>
      <w:r>
        <w:rPr>
          <w:rFonts w:ascii="맑은 고딕" w:cs="맑은 고딕" w:eastAsia="맑은 고딕" w:hAnsi="맑은 고딕"/>
          <w:b/>
          <w:bCs/>
          <w:color w:val="16337A"/>
          <w:sz w:val="23"/>
          <w:szCs w:val="23"/>
        </w:rPr>
        <w:t xml:space="preserve">6.4 출원 전 보완이 필요한 사항</w:t>
      </w:r>
    </w:p>
    <w:p>
      <w:pPr>
        <w:spacing w:after="100" w:before="40" w:line="300"/>
        <w:jc w:val="both"/>
      </w:pPr>
      <w:r>
        <w:rPr>
          <w:rFonts w:ascii="맑은 고딕" w:cs="맑은 고딕" w:eastAsia="맑은 고딕" w:hAnsi="맑은 고딕"/>
          <w:color w:val="1B2430"/>
          <w:sz w:val="20"/>
          <w:szCs w:val="20"/>
        </w:rPr>
        <w:t xml:space="preserve">현재 구현물은 프로토타입이므로, 명세서 작성 시 아래를 전제로 기재 전략을 결정해야 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cantSplit/>
          <w:tblHeader/>
        </w:trPr>
        <w:tc>
          <w:tcPr>
            <w:tcW w:type="dxa" w:w="22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항목</w:t>
            </w:r>
          </w:p>
        </w:tc>
        <w:tc>
          <w:tcPr>
            <w:tcW w:type="dxa" w:w="68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현 상태와 대응</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심사 판정</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배점·신뢰도·사유가 시나리오 데이터로 구성되어 있고 추론 모델은 미적용. → ‘항목별 획득점수와 신뢰도를 입력받아 판정하는 구성’으로 한정하면 판정 로직(임계·강제보류·인정금액 산정)은 명세서 기재만으로 실시 가능</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외부 견적 연동</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스냅샷 데이터 형식과 정산식은 정의, 실제 인터페이스는 미연동. → ‘외부 시스템으로부터 수신한 스냅샷’으로 기재하고 통신 프로토콜은 한정하지 않음</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데이터 영속화</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화면 단위 보관으로 구성되어 있고 트랜잭션·동시성 제어 없음. → 채번의 원자성과 결재 상태 전파의 트랜잭션 처리를 명세서에 별도 기재 권장. ‘채번의 원자성’은 종속항 소재로도 유효</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인증·권한</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인증값이 고정 상수. → ‘인증정보 검증부’로 상위 개념화하여 기재</w:t>
            </w:r>
          </w:p>
        </w:tc>
      </w:tr>
      <w:tr>
        <w:trPr>
          <w:cantSplit/>
          <w:tblHeader w:val="false"/>
        </w:trPr>
        <w:tc>
          <w:tcPr>
            <w:tcW w:type="dxa" w:w="22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감사·보존</w:t>
            </w:r>
          </w:p>
        </w:tc>
        <w:tc>
          <w:tcPr>
            <w:tcW w:type="dxa" w:w="68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결의 삭제가 물리 삭제. → 실운영에서는 논리삭제 + 감사이력 보존이 필요하며, 이를 종속항·실시예로 기재하면 구성 보강 효과</w:t>
            </w:r>
          </w:p>
        </w:tc>
      </w:tr>
    </w:tbl>
    <w:p>
      <w:pPr>
        <w:spacing w:after="100" w:before="40" w:line="300"/>
        <w:jc w:val="both"/>
      </w:pPr>
      <w:r>
        <w:rPr>
          <w:rFonts w:ascii="맑은 고딕" w:cs="맑은 고딕" w:eastAsia="맑은 고딕" w:hAnsi="맑은 고딕"/>
          <w:b/>
          <w:bCs/>
          <w:color w:val="1B2430"/>
          <w:sz w:val="20"/>
          <w:szCs w:val="20"/>
        </w:rPr>
        <w:t xml:space="preserve">정리하면, 본 시스템의 특허성은 인식·추론 기술이 아니라 그 결과를 업무 상태·권한·채번·결재와 결합하여 통제하는 정보처리 구조에 있다. 청구항을 후자에 집중시키면 현 프로토타입 수준에서도 실시가능요건을 충족할 수 있다.</w:t>
      </w:r>
    </w:p>
    <w:p>
      <w:pPr>
        <w:pStyle w:val="Heading2"/>
        <w:spacing w:after="120" w:before="280"/>
      </w:pPr>
      <w:r>
        <w:rPr>
          <w:rFonts w:ascii="맑은 고딕" w:cs="맑은 고딕" w:eastAsia="맑은 고딕" w:hAnsi="맑은 고딕"/>
          <w:b/>
          <w:bCs/>
          <w:color w:val="16337A"/>
          <w:sz w:val="23"/>
          <w:szCs w:val="23"/>
        </w:rPr>
        <w:t xml:space="preserve">6.5 선행기술조사 권고 키워드</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7320"/>
      </w:tblGrid>
      <w:tr>
        <w:trPr>
          <w:cantSplit/>
          <w:tblHeader/>
        </w:trPr>
        <w:tc>
          <w:tcPr>
            <w:tcW w:type="dxa" w:w="170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구분</w:t>
            </w:r>
          </w:p>
        </w:tc>
        <w:tc>
          <w:tcPr>
            <w:tcW w:type="dxa" w:w="7320"/>
            <w:tcBorders>
              <w:top w:val="single" w:color="C9D3E4" w:sz="4"/>
              <w:left w:val="single" w:color="C9D3E4" w:sz="4"/>
              <w:bottom w:val="single" w:color="C9D3E4" w:sz="4"/>
              <w:right w:val="single" w:color="C9D3E4" w:sz="4"/>
            </w:tcBorders>
            <w:shd w:fill="E4ECFA" w:color="auto" w:val="clear"/>
            <w:tcMar>
              <w:top w:type="dxa" w:w="70"/>
              <w:left w:type="dxa" w:w="110"/>
              <w:bottom w:type="dxa" w:w="70"/>
              <w:right w:type="dxa" w:w="110"/>
            </w:tcMar>
            <w:vAlign w:val="center"/>
          </w:tcPr>
          <w:p>
            <w:pPr>
              <w:spacing w:after="40" w:before="40" w:line="270"/>
              <w:jc w:val="center"/>
            </w:pPr>
            <w:r>
              <w:rPr>
                <w:rFonts w:ascii="맑은 고딕" w:cs="맑은 고딕" w:eastAsia="맑은 고딕" w:hAnsi="맑은 고딕"/>
                <w:b/>
                <w:bCs/>
                <w:color w:val="1B2430"/>
                <w:sz w:val="17"/>
                <w:szCs w:val="17"/>
              </w:rPr>
              <w:t xml:space="preserve">키워드</w:t>
            </w:r>
          </w:p>
        </w:tc>
      </w:tr>
      <w:tr>
        <w:trPr>
          <w:cantSplit/>
          <w:tblHeader w:val="false"/>
        </w:trPr>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국문</w:t>
            </w:r>
          </w:p>
        </w:tc>
        <w:tc>
          <w:tcPr>
            <w:tcW w:type="dxa" w:w="7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자동차 보험금 청구 자동화 / 수리비 견적 심사 / 손해사정 자동화 / 사고접수 자동배당 / 미결 업무 자동분류 / 전자결재 전결한도 / 지급결의 합산 결재 / 과실상계 자동계산 / 렌터카 사고관리 시스템</w:t>
            </w:r>
          </w:p>
        </w:tc>
      </w:tr>
      <w:tr>
        <w:trPr>
          <w:cantSplit/>
          <w:tblHeader w:val="false"/>
        </w:trPr>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영문</w:t>
            </w:r>
          </w:p>
        </w:tc>
        <w:tc>
          <w:tcPr>
            <w:tcW w:type="dxa" w:w="7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insurance claim triage, automated claim adjudication, repair estimate audit, line-item adjudication, confidence threshold override, workload round-robin assignment, deterministic task allocation, multi-invoice payment batching, approval limit delegation</w:t>
            </w:r>
          </w:p>
        </w:tc>
      </w:tr>
      <w:tr>
        <w:trPr>
          <w:cantSplit/>
          <w:tblHeader w:val="false"/>
        </w:trPr>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IPC / CPC 추정</w:t>
            </w:r>
          </w:p>
        </w:tc>
        <w:tc>
          <w:tcPr>
            <w:tcW w:type="dxa" w:w="7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G06Q 40/08 (보험), G06Q 10/06 (자원·업무 관리), G06Q 10/10 (워크플로), G06Q 30/04 (청구·정산), G06Q 10/0631 (자원 할당)</w:t>
            </w:r>
          </w:p>
        </w:tc>
      </w:tr>
      <w:tr>
        <w:trPr>
          <w:cantSplit/>
          <w:tblHeader w:val="false"/>
        </w:trPr>
        <w:tc>
          <w:tcPr>
            <w:tcW w:type="dxa" w:w="170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조사 대상</w:t>
            </w:r>
          </w:p>
        </w:tc>
        <w:tc>
          <w:tcPr>
            <w:tcW w:type="dxa" w:w="7320"/>
            <w:tcBorders>
              <w:top w:val="single" w:color="C9D3E4" w:sz="4"/>
              <w:left w:val="single" w:color="C9D3E4" w:sz="4"/>
              <w:bottom w:val="single" w:color="C9D3E4" w:sz="4"/>
              <w:right w:val="single" w:color="C9D3E4" w:sz="4"/>
            </w:tcBorders>
            <w:tcMar>
              <w:top w:type="dxa" w:w="70"/>
              <w:left w:type="dxa" w:w="110"/>
              <w:bottom w:type="dxa" w:w="70"/>
              <w:right w:type="dxa" w:w="110"/>
            </w:tcMar>
            <w:vAlign w:val="center"/>
          </w:tcPr>
          <w:p>
            <w:pPr>
              <w:spacing w:after="40" w:before="40" w:line="270"/>
              <w:jc w:val="left"/>
            </w:pPr>
            <w:r>
              <w:rPr>
                <w:rFonts w:ascii="맑은 고딕" w:cs="맑은 고딕" w:eastAsia="맑은 고딕" w:hAnsi="맑은 고딕"/>
                <w:b w:val="false"/>
                <w:bCs w:val="false"/>
                <w:color w:val="1B2430"/>
                <w:sz w:val="17"/>
                <w:szCs w:val="17"/>
              </w:rPr>
              <w:t xml:space="preserve">KIPRIS, Google Patents, Espacenet. 국내 손해보험사·보험개발원 관련 출원, 일본 손보사 출원, 해외 견적심사 솔루션(CCC·Mitchell·Solera 계열) 출원을 중점 확인</w:t>
            </w:r>
          </w:p>
        </w:tc>
      </w:tr>
    </w:tbl>
    <w:p>
      <w:pPr>
        <w:pStyle w:val="Heading2"/>
        <w:spacing w:after="120" w:before="280"/>
      </w:pPr>
      <w:r>
        <w:rPr>
          <w:rFonts w:ascii="맑은 고딕" w:cs="맑은 고딕" w:eastAsia="맑은 고딕" w:hAnsi="맑은 고딕"/>
          <w:b/>
          <w:bCs/>
          <w:color w:val="16337A"/>
          <w:sz w:val="23"/>
          <w:szCs w:val="23"/>
        </w:rPr>
        <w:t xml:space="preserve">6.6 출원 전략 제언</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국내 출원 1건으로 제1~3군을 묶어 출원하고(처리 체인 전체를 포섭하는 상위 독립항 + 각 군의 병렬 독립항), 제4군(심사)과 제5군(배당)은 별도 출원으로 분리할 것을 권고한다. 심사 과정에서 진보성 논거가 달라지므로 분리가 유리하다.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출원 전 공개 금지. 현재 저장소가 공개 상태라면 즉시 비공개 전환을 검토하고, 이미 공개되었다면 공개일을 특정하여 공지예외 주장(특허법 §30, 공개 후 12개월 내)의 적용 가능 여부를 먼저 확인해야 한다.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임계값·배점표·배제 순서 등 수치 파라미터는 청구항에서 상위 개념으로 두고 명세서에만 개시하여, 수치 변경만으로 회피하는 것을 방지한다. 다만 진보성 확보를 위해 종속항에 수치 한정항을 배치한다.</w:t>
      </w:r>
    </w:p>
    <w:p>
      <w:pPr>
        <w:pStyle w:val="ListParagraph"/>
        <w:numPr>
          <w:ilvl w:val="0"/>
          <w:numId w:val="2"/>
        </w:numPr>
        <w:spacing w:after="60" w:before="20" w:line="290"/>
      </w:pPr>
      <w:r>
        <w:rPr>
          <w:rFonts w:ascii="맑은 고딕" w:cs="맑은 고딕" w:eastAsia="맑은 고딕" w:hAnsi="맑은 고딕"/>
          <w:b w:val="false"/>
          <w:bCs w:val="false"/>
          <w:color w:val="1B2430"/>
          <w:sz w:val="20"/>
          <w:szCs w:val="20"/>
        </w:rPr>
        <w:t xml:space="preserve">운영 데이터가 축적되면 후속 발명 도출이 가능하므로, 국내 출원일로부터 1년 내 국내우선권주장 출원으로 보강하는 일정을 권고한다. 배점표 구성·평가 기준 등 운영 노하우성 데이터는 영업비밀로 병행 관리한다.</w:t>
      </w:r>
    </w:p>
    <w:p>
      <w:pPr>
        <w:spacing w:after="240" w:before="0"/>
      </w:pPr>
      <w:r>
        <w:rPr>
          <w:rFonts w:ascii="맑은 고딕" w:cs="맑은 고딕" w:eastAsia="맑은 고딕" w:hAnsi="맑은 고딕"/>
          <w:sz w:val="12"/>
          <w:szCs w:val="12"/>
        </w:rPr>
        <w:t xml:space="preserve"/>
      </w:r>
    </w:p>
    <w:p>
      <w:pPr>
        <w:spacing w:after="100" w:before="40" w:line="300"/>
        <w:jc w:val="center"/>
      </w:pPr>
      <w:r>
        <w:rPr>
          <w:rFonts w:ascii="맑은 고딕" w:cs="맑은 고딕" w:eastAsia="맑은 고딕" w:hAnsi="맑은 고딕"/>
          <w:b/>
          <w:bCs/>
          <w:color w:val="1B2430"/>
          <w:sz w:val="20"/>
          <w:szCs w:val="20"/>
        </w:rPr>
        <w:t xml:space="preserve">— 이 상 —</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4" w:sz="4" w:space="6"/>
      </w:pBdr>
      <w:spacing w:before="100"/>
      <w:jc w:val="center"/>
    </w:pPr>
    <w:r>
      <w:rPr>
        <w:rFonts w:ascii="맑은 고딕" w:cs="맑은 고딕" w:eastAsia="맑은 고딕" w:hAnsi="맑은 고딕"/>
        <w:color w:val="8A94A6"/>
        <w:sz w:val="16"/>
        <w:szCs w:val="16"/>
      </w:rPr>
      <w:t xml:space="preserve">클레임 ERP 특허 출원 검토 자료   ·   </w:t>
    </w:r>
    <w:r>
      <w:rPr>
        <w:rFonts w:ascii="맑은 고딕" w:cs="맑은 고딕" w:eastAsia="맑은 고딕" w:hAnsi="맑은 고딕"/>
        <w:color w:val="8A94A6"/>
        <w:sz w:val="16"/>
        <w:szCs w:val="16"/>
      </w:rPr>
      <w:fldChar w:fldCharType="begin"/>
      <w:instrText xml:space="preserve">PAGE</w:instrText>
      <w:fldChar w:fldCharType="separate"/>
      <w:fldChar w:fldCharType="end"/>
    </w:r>
    <w:r>
      <w:rPr>
        <w:rFonts w:ascii="맑은 고딕" w:cs="맑은 고딕" w:eastAsia="맑은 고딕" w:hAnsi="맑은 고딕"/>
        <w:color w:val="8A94A6"/>
        <w:sz w:val="16"/>
        <w:szCs w:val="16"/>
      </w:rPr>
      <w:t xml:space="preserve"> / </w:t>
    </w:r>
    <w:r>
      <w:rPr>
        <w:rFonts w:ascii="맑은 고딕" w:cs="맑은 고딕" w:eastAsia="맑은 고딕" w:hAnsi="맑은 고딕"/>
        <w:color w:val="8A94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맑은 고딕" w:cs="맑은 고딕" w:eastAsia="맑은 고딕" w:hAnsi="맑은 고딕"/>
    </w:rPr>
  </w:style>
  <w:style w:type="paragraph" w:styleId="Heading2">
    <w:name w:val="Heading 2"/>
    <w:basedOn w:val="Normal"/>
    <w:next w:val="Normal"/>
    <w:qFormat/>
    <w:rPr>
      <w:rFonts w:ascii="맑은 고딕" w:cs="맑은 고딕" w:eastAsia="맑은 고딕" w:hAnsi="맑은 고딕"/>
    </w:rPr>
  </w:style>
  <w:style w:type="paragraph" w:styleId="Heading3">
    <w:name w:val="Heading 3"/>
    <w:basedOn w:val="Normal"/>
    <w:next w:val="Normal"/>
    <w:qFormat/>
    <w:rPr>
      <w:rFonts w:ascii="맑은 고딕" w:cs="맑은 고딕" w:eastAsia="맑은 고딕" w:hAnsi="맑은 고딕"/>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클레임 ERP 특허 출원 검토 자료</dc:title>
  <dc:creator>Claim ERP</dc:creator>
  <dc:description>차량 클레임 처리 통합관리 시스템의 기술적 차별성 정리</dc:description>
  <cp:lastModifiedBy>Un-named</cp:lastModifiedBy>
  <cp:revision>1</cp:revision>
  <dcterms:created xsi:type="dcterms:W3CDTF">2026-09-15T07:35:30.649Z</dcterms:created>
  <dcterms:modified xsi:type="dcterms:W3CDTF">2026-09-15T07:35:30.662Z</dcterms:modified>
</cp:coreProperties>
</file>

<file path=docProps/custom.xml><?xml version="1.0" encoding="utf-8"?>
<Properties xmlns="http://schemas.openxmlformats.org/officeDocument/2006/custom-properties" xmlns:vt="http://schemas.openxmlformats.org/officeDocument/2006/docPropsVTypes"/>
</file>