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맑은 고딕" w:cs="맑은 고딕" w:eastAsia="맑은 고딕" w:hAnsi="맑은 고딕"/>
          <w:b/>
          <w:bCs/>
          <w:color w:val="1D4ED8"/>
          <w:sz w:val="44"/>
          <w:szCs w:val="44"/>
        </w:rPr>
        <w:t xml:space="preserve">특 허 출 원 검 토 자 료</w:t>
      </w:r>
    </w:p>
    <w:p>
      <w:pPr>
        <w:spacing w:after="0" w:before="240"/>
        <w:jc w:val="center"/>
      </w:pPr>
      <w:r>
        <w:rPr>
          <w:rFonts w:ascii="맑은 고딕" w:cs="맑은 고딕" w:eastAsia="맑은 고딕" w:hAnsi="맑은 고딕"/>
          <w:b/>
          <w:bCs/>
          <w:color w:val="1B2430"/>
          <w:sz w:val="30"/>
          <w:szCs w:val="30"/>
        </w:rPr>
        <w:t xml:space="preserve">차량 클레임 처리 통합관리 시스템 (Claim ERP)</w:t>
      </w:r>
    </w:p>
    <w:p>
      <w:pPr>
        <w:spacing w:after="900" w:before="120"/>
        <w:jc w:val="center"/>
      </w:pPr>
      <w:r>
        <w:rPr>
          <w:rFonts w:ascii="맑은 고딕" w:cs="맑은 고딕" w:eastAsia="맑은 고딕" w:hAnsi="맑은 고딕"/>
          <w:color w:val="4A5567"/>
          <w:sz w:val="22"/>
          <w:szCs w:val="22"/>
        </w:rPr>
        <w:t xml:space="preserve">— 종래기술 대비 기술적 차별성 · 시스템 구성 · 프로세스 중심 —</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tblGrid>
      <w:tr>
        <w:trPr>
          <w:cantSplit/>
          <w:tblHeader/>
        </w:trPr>
        <w:tc>
          <w:tcPr>
            <w:tcW w:type="dxa" w:w="22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항목</w:t>
            </w:r>
          </w:p>
        </w:tc>
        <w:tc>
          <w:tcPr>
            <w:tcW w:type="dxa" w:w="50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내용</w:t>
            </w:r>
          </w:p>
        </w:tc>
      </w:tr>
      <w:tr>
        <w:trPr>
          <w:cantSplit/>
          <w:tblHeader w:val="false"/>
        </w:trPr>
        <w:tc>
          <w:tcPr>
            <w:tcW w:type="dxa" w:w="22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문서 성격</w:t>
            </w:r>
          </w:p>
        </w:tc>
        <w:tc>
          <w:tcPr>
            <w:tcW w:type="dxa" w:w="5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변리사 선행검토·출원 가능성 판단용 발명 설명자료 (명세서 초안 아님)</w:t>
            </w:r>
          </w:p>
        </w:tc>
      </w:tr>
      <w:tr>
        <w:trPr>
          <w:cantSplit/>
          <w:tblHeader w:val="false"/>
        </w:trPr>
        <w:tc>
          <w:tcPr>
            <w:tcW w:type="dxa" w:w="22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발명의 명칭(가칭)</w:t>
            </w:r>
          </w:p>
        </w:tc>
        <w:tc>
          <w:tcPr>
            <w:tcW w:type="dxa" w:w="5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차량 클레임의 미결 분류·자동처리 및 지급결의·전자결재 연계 통합관리 시스템 및 그 방법</w:t>
            </w:r>
          </w:p>
        </w:tc>
      </w:tr>
      <w:tr>
        <w:trPr>
          <w:cantSplit/>
          <w:tblHeader w:val="false"/>
        </w:trPr>
        <w:tc>
          <w:tcPr>
            <w:tcW w:type="dxa" w:w="22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기준 산출물</w:t>
            </w:r>
          </w:p>
        </w:tc>
        <w:tc>
          <w:tcPr>
            <w:tcW w:type="dxa" w:w="5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GitHub worksuhyeon-tech/Claim-ERP · 디렉터리 claim-erp-split (완성본 버전)</w:t>
            </w:r>
          </w:p>
        </w:tc>
      </w:tr>
      <w:tr>
        <w:trPr>
          <w:cantSplit/>
          <w:tblHeader w:val="false"/>
        </w:trPr>
        <w:tc>
          <w:tcPr>
            <w:tcW w:type="dxa" w:w="22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적용 도메인</w:t>
            </w:r>
          </w:p>
        </w:tc>
        <w:tc>
          <w:tcPr>
            <w:tcW w:type="dxa" w:w="5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렌터카·리스 차량의 사고 클레임(접수 → 선견적 → 수리승인 → 손해사정 → 지급/정산 → 종결)</w:t>
            </w:r>
          </w:p>
        </w:tc>
      </w:tr>
      <w:tr>
        <w:trPr>
          <w:cantSplit/>
          <w:tblHeader w:val="false"/>
        </w:trPr>
        <w:tc>
          <w:tcPr>
            <w:tcW w:type="dxa" w:w="22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작성일</w:t>
            </w:r>
          </w:p>
        </w:tc>
        <w:tc>
          <w:tcPr>
            <w:tcW w:type="dxa" w:w="5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2026-09-15</w:t>
            </w:r>
          </w:p>
        </w:tc>
      </w:tr>
    </w:tbl>
    <w:p>
      <w:r>
        <w:br w:type="page"/>
      </w:r>
    </w:p>
    <w:p>
      <w:pPr>
        <w:pStyle w:val="Heading1"/>
        <w:pBdr>
          <w:bottom w:val="single" w:color="1D4ED8" w:sz="12" w:space="4"/>
        </w:pBdr>
        <w:spacing w:after="160" w:before="360"/>
      </w:pPr>
      <w:r>
        <w:rPr>
          <w:rFonts w:ascii="맑은 고딕" w:cs="맑은 고딕" w:eastAsia="맑은 고딕" w:hAnsi="맑은 고딕"/>
          <w:b/>
          <w:bCs/>
          <w:color w:val="1D4ED8"/>
          <w:sz w:val="28"/>
          <w:szCs w:val="28"/>
        </w:rPr>
        <w:t xml:space="preserve">목   차</w:t>
      </w:r>
    </w:p>
    <w:sdt>
      <w:sdtPr>
        <w:alias w:val="목차"/>
      </w:sdtPr>
      <w:sdtContent>
        <w:p>
          <w:r>
            <w:fldChar w:fldCharType="begin" w:dirty="true"/>
            <w:instrText xml:space="preserve">TOC \h \o "1-3"</w:instrText>
            <w:fldChar w:fldCharType="separate"/>
          </w:r>
        </w:p>
        <w:p>
          <w:r>
            <w:fldChar w:fldCharType="end"/>
          </w:r>
        </w:p>
      </w:sdtContent>
    </w:sdt>
    <w:p>
      <w:pPr>
        <w:spacing w:after="160" w:before="60" w:line="280"/>
      </w:pPr>
      <w:r>
        <w:rPr>
          <w:rFonts w:ascii="맑은 고딕" w:cs="맑은 고딕" w:eastAsia="맑은 고딕" w:hAnsi="맑은 고딕"/>
          <w:b w:val="false"/>
          <w:bCs w:val="false"/>
          <w:color w:val="4A5567"/>
          <w:sz w:val="17"/>
          <w:szCs w:val="17"/>
        </w:rPr>
        <w:t xml:space="preserve">※ Word에서 문서를 연 뒤 목차 영역을 우클릭 → [필드 업데이트]를 실행하면 페이지 번호가 채워집니다.</w:t>
      </w:r>
    </w:p>
    <w:p>
      <w:r>
        <w:br w:type="page"/>
      </w:r>
    </w:p>
    <w:p>
      <w:pPr>
        <w:pStyle w:val="Heading1"/>
        <w:pBdr>
          <w:bottom w:val="single" w:color="1D4ED8" w:sz="12" w:space="4"/>
        </w:pBdr>
        <w:spacing w:after="160" w:before="360"/>
      </w:pPr>
      <w:r>
        <w:rPr>
          <w:rFonts w:ascii="맑은 고딕" w:cs="맑은 고딕" w:eastAsia="맑은 고딕" w:hAnsi="맑은 고딕"/>
          <w:b/>
          <w:bCs/>
          <w:color w:val="1D4ED8"/>
          <w:sz w:val="28"/>
          <w:szCs w:val="28"/>
        </w:rPr>
        <w:t xml:space="preserve">Ⅰ. 문서의 목적과 검토 범위</w:t>
      </w:r>
    </w:p>
    <w:p>
      <w:pPr>
        <w:pStyle w:val="Heading2"/>
        <w:spacing w:after="120" w:before="280"/>
      </w:pPr>
      <w:r>
        <w:rPr>
          <w:rFonts w:ascii="맑은 고딕" w:cs="맑은 고딕" w:eastAsia="맑은 고딕" w:hAnsi="맑은 고딕"/>
          <w:b/>
          <w:bCs/>
          <w:color w:val="16337A"/>
          <w:sz w:val="23"/>
          <w:szCs w:val="23"/>
        </w:rPr>
        <w:t xml:space="preserve">1.1 목적</w:t>
      </w:r>
    </w:p>
    <w:p>
      <w:pPr>
        <w:spacing w:after="100" w:before="40" w:line="300"/>
        <w:jc w:val="both"/>
      </w:pPr>
      <w:r>
        <w:rPr>
          <w:rFonts w:ascii="맑은 고딕" w:cs="맑은 고딕" w:eastAsia="맑은 고딕" w:hAnsi="맑은 고딕"/>
          <w:color w:val="1B2430"/>
          <w:sz w:val="20"/>
          <w:szCs w:val="20"/>
        </w:rPr>
        <w:t xml:space="preserve">본 자료는 출원인이 개발 중인 차량 클레임 처리 통합관리 시스템(이하 “본 시스템” 또는 “Claim ERP”)에 대하여, 변리사가 (i) 특허 출원 가능성, (ii) 신규성·진보성이 인정될 가능성이 있는 구성요소, (iii) 청구항 구성의 방향을 판단할 수 있도록, 본 시스템의 기술적 구성과 종래기술 대비 차별점을 구체적으로 기술한 것이다.</w:t>
      </w:r>
    </w:p>
    <w:p>
      <w:pPr>
        <w:spacing w:after="100" w:before="40" w:line="300"/>
        <w:jc w:val="both"/>
      </w:pPr>
      <w:r>
        <w:rPr>
          <w:rFonts w:ascii="맑은 고딕" w:cs="맑은 고딕" w:eastAsia="맑은 고딕" w:hAnsi="맑은 고딕"/>
          <w:color w:val="1B2430"/>
          <w:sz w:val="20"/>
          <w:szCs w:val="20"/>
        </w:rPr>
        <w:t xml:space="preserve">특히 업무방법(BM) 발명은 “영업방법 자체”가 아니라 “컴퓨터 상에서 구체적으로 구현된 정보처리 수단”이 청구되어야 발명으로 성립하므로, 본 자료는 업무 흐름의 서술에 그치지 않고 각 차별점마다 ① 입력 데이터, ② 판정·연산 규칙, ③ 상태 전이, ④ 출력·제어 결과를 특정하여 기술하였다.</w:t>
      </w:r>
    </w:p>
    <w:p>
      <w:pPr>
        <w:pStyle w:val="Heading2"/>
        <w:spacing w:after="120" w:before="280"/>
      </w:pPr>
      <w:r>
        <w:rPr>
          <w:rFonts w:ascii="맑은 고딕" w:cs="맑은 고딕" w:eastAsia="맑은 고딕" w:hAnsi="맑은 고딕"/>
          <w:b/>
          <w:bCs/>
          <w:color w:val="16337A"/>
          <w:sz w:val="23"/>
          <w:szCs w:val="23"/>
        </w:rPr>
        <w:t xml:space="preserve">1.2 검토 대상 산출물</w:t>
      </w:r>
    </w:p>
    <w:p>
      <w:pPr>
        <w:spacing w:after="100" w:before="40" w:line="300"/>
        <w:jc w:val="both"/>
      </w:pPr>
      <w:r>
        <w:rPr>
          <w:rFonts w:ascii="맑은 고딕" w:cs="맑은 고딕" w:eastAsia="맑은 고딕" w:hAnsi="맑은 고딕"/>
          <w:color w:val="1B2430"/>
          <w:sz w:val="20"/>
          <w:szCs w:val="20"/>
        </w:rPr>
        <w:t xml:space="preserve">검토 기준은 저장소 내 claim-erp-split 디렉터리의 구현물이며, 화면(HTML) 9종과 로직(JavaScript) 12종으로 구성된다. 주요 구성은 다음과 같다.</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50"/>
        <w:gridCol w:w="2100"/>
        <w:gridCol w:w="5170"/>
      </w:tblGrid>
      <w:tr>
        <w:trPr>
          <w:cantSplit/>
          <w:tblHeader/>
        </w:trPr>
        <w:tc>
          <w:tcPr>
            <w:tcW w:type="dxa" w:w="175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구분</w:t>
            </w:r>
          </w:p>
        </w:tc>
        <w:tc>
          <w:tcPr>
            <w:tcW w:type="dxa" w:w="21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파일</w:t>
            </w:r>
          </w:p>
        </w:tc>
        <w:tc>
          <w:tcPr>
            <w:tcW w:type="dxa" w:w="517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담당 기능 (특허 검토 관점)</w:t>
            </w:r>
          </w:p>
        </w:tc>
      </w:tr>
      <w:tr>
        <w:trPr>
          <w:cantSplit/>
          <w:tblHeader w:val="false"/>
        </w:trPr>
        <w:tc>
          <w:tcPr>
            <w:tcW w:type="dxa" w:w="17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통합 미결관리</w:t>
            </w:r>
          </w:p>
        </w:tc>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smart-claims.html / claims.js</w:t>
            </w:r>
          </w:p>
        </w:tc>
        <w:tc>
          <w:tcPr>
            <w:tcW w:type="dxa" w:w="51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4단계 Flow × 11종 조치유형의 2축 미결 분류, 다중조건 필터링, 단계별 액션 워크플로</w:t>
            </w:r>
          </w:p>
        </w:tc>
      </w:tr>
      <w:tr>
        <w:trPr>
          <w:cantSplit/>
          <w:tblHeader w:val="false"/>
        </w:trPr>
        <w:tc>
          <w:tcPr>
            <w:tcW w:type="dxa" w:w="17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무인처리 엔진</w:t>
            </w:r>
          </w:p>
        </w:tc>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smart-claims-demo.html</w:t>
            </w:r>
          </w:p>
        </w:tc>
        <w:tc>
          <w:tcPr>
            <w:tcW w:type="dxa" w:w="51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단계별 검증조건 순차 판정에 의한 무인 자동처리 및 예외건 정지·잔류</w:t>
            </w:r>
          </w:p>
        </w:tc>
      </w:tr>
      <w:tr>
        <w:trPr>
          <w:cantSplit/>
          <w:tblHeader w:val="false"/>
        </w:trPr>
        <w:tc>
          <w:tcPr>
            <w:tcW w:type="dxa" w:w="17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업무처리 상세</w:t>
            </w:r>
          </w:p>
        </w:tc>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smart-intake.html / intake.js</w:t>
            </w:r>
          </w:p>
        </w:tc>
        <w:tc>
          <w:tcPr>
            <w:tcW w:type="dxa" w:w="51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계약·사고정보 / 피해 진행정보 / 청구 견적정보 3탭, 탭별 저장상태 기반 종결 게이팅, 지급결의·결재 상신</w:t>
            </w:r>
          </w:p>
        </w:tc>
      </w:tr>
      <w:tr>
        <w:trPr>
          <w:cantSplit/>
          <w:tblHeader w:val="false"/>
        </w:trPr>
        <w:tc>
          <w:tcPr>
            <w:tcW w:type="dxa" w:w="17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AI-OCR</w:t>
            </w:r>
          </w:p>
        </w:tc>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intake-ocr.js / intake-ocr.css</w:t>
            </w:r>
          </w:p>
        </w:tc>
        <w:tc>
          <w:tcPr>
            <w:tcW w:type="dxa" w:w="51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부품청구서 전산화, 원본↔확정값 필드단위 차분 이력, 스테이징·지급결의 생성</w:t>
            </w:r>
          </w:p>
        </w:tc>
      </w:tr>
      <w:tr>
        <w:trPr>
          <w:cantSplit/>
          <w:tblHeader w:val="false"/>
        </w:trPr>
        <w:tc>
          <w:tcPr>
            <w:tcW w:type="dxa" w:w="17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외부 견적 연동</w:t>
            </w:r>
          </w:p>
        </w:tc>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intake-aos.js</w:t>
            </w:r>
          </w:p>
        </w:tc>
        <w:tc>
          <w:tcPr>
            <w:tcW w:type="dxa" w:w="51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AOS 스냅샷 임포트, 재원(공임·부품·부가세·자기부담) 정산식, 손해사정금액 오버라이드</w:t>
            </w:r>
          </w:p>
        </w:tc>
      </w:tr>
      <w:tr>
        <w:trPr>
          <w:cantSplit/>
          <w:tblHeader w:val="false"/>
        </w:trPr>
        <w:tc>
          <w:tcPr>
            <w:tcW w:type="dxa" w:w="17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AI 심사</w:t>
            </w:r>
          </w:p>
        </w:tc>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ai-dashboard.html / ai-dashboard.js</w:t>
            </w:r>
          </w:p>
        </w:tc>
        <w:tc>
          <w:tcPr>
            <w:tcW w:type="dxa" w:w="51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배점 합산 판정 + 신뢰도 임계 강제보류, 라인아이템 단위 인정금액 산정, 검토회신 생성</w:t>
            </w:r>
          </w:p>
        </w:tc>
      </w:tr>
      <w:tr>
        <w:trPr>
          <w:cantSplit/>
          <w:tblHeader w:val="false"/>
        </w:trPr>
        <w:tc>
          <w:tcPr>
            <w:tcW w:type="dxa" w:w="17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권한·배당</w:t>
            </w:r>
          </w:p>
        </w:tc>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assignment-management.html / rotation-assignment.html / assign.js</w:t>
            </w:r>
          </w:p>
        </w:tc>
        <w:tc>
          <w:tcPr>
            <w:tcW w:type="dxa" w:w="51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전결권한·한도·종결권한 관리, 순환배당 엔진, 무저장 배당 시뮬레이션</w:t>
            </w:r>
          </w:p>
        </w:tc>
      </w:tr>
      <w:tr>
        <w:trPr>
          <w:cantSplit/>
          <w:tblHeader w:val="false"/>
        </w:trPr>
        <w:tc>
          <w:tcPr>
            <w:tcW w:type="dxa" w:w="17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전자결재</w:t>
            </w:r>
          </w:p>
        </w:tc>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approval-list.html / closing.js</w:t>
            </w:r>
          </w:p>
        </w:tc>
        <w:tc>
          <w:tcPr>
            <w:tcW w:type="dxa" w:w="51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Speed결재 패널, 품의서 렌더링, 지급성 결재 비밀번호 인증, 결재이력</w:t>
            </w:r>
          </w:p>
        </w:tc>
      </w:tr>
      <w:tr>
        <w:trPr>
          <w:cantSplit/>
          <w:tblHeader w:val="false"/>
        </w:trPr>
        <w:tc>
          <w:tcPr>
            <w:tcW w:type="dxa" w:w="17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증빙관리</w:t>
            </w:r>
          </w:p>
        </w:tc>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image-system.html / images.js / message-send.html / message.js</w:t>
            </w:r>
          </w:p>
        </w:tc>
        <w:tc>
          <w:tcPr>
            <w:tcW w:type="dxa" w:w="51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사고건별 7폴더 이미지 관리, 만료·인증형 보안링크 발송, 템플릿 변수 치환 발송</w:t>
            </w:r>
          </w:p>
        </w:tc>
      </w:tr>
      <w:tr>
        <w:trPr>
          <w:cantSplit/>
          <w:tblHeader w:val="false"/>
        </w:trPr>
        <w:tc>
          <w:tcPr>
            <w:tcW w:type="dxa" w:w="17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협력업체</w:t>
            </w:r>
          </w:p>
        </w:tc>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vendor-inquiry.html / vendor.js / vendor-eval.js</w:t>
            </w:r>
          </w:p>
        </w:tc>
        <w:tc>
          <w:tcPr>
            <w:tcW w:type="dxa" w:w="51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협력업체 계약·수가·지급처 관리, 메타데이터 기반 동적 평가폼 및 표본 쿼터</w:t>
            </w:r>
          </w:p>
        </w:tc>
      </w:tr>
      <w:tr>
        <w:trPr>
          <w:cantSplit/>
          <w:tblHeader w:val="false"/>
        </w:trPr>
        <w:tc>
          <w:tcPr>
            <w:tcW w:type="dxa" w:w="17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공통 기반</w:t>
            </w:r>
          </w:p>
        </w:tc>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common.js / common.css</w:t>
            </w:r>
          </w:p>
        </w:tc>
        <w:tc>
          <w:tcPr>
            <w:tcW w:type="dxa" w:w="51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클레임 마스터, 지급결의·결재 공용 데이터, 채번 함수, 과실률 파싱·재계산, 상태 동기화</w:t>
            </w:r>
          </w:p>
        </w:tc>
      </w:tr>
    </w:tbl>
    <w:p>
      <w:pPr>
        <w:pStyle w:val="Heading2"/>
        <w:spacing w:after="120" w:before="280"/>
      </w:pPr>
      <w:r>
        <w:rPr>
          <w:rFonts w:ascii="맑은 고딕" w:cs="맑은 고딕" w:eastAsia="맑은 고딕" w:hAnsi="맑은 고딕"/>
          <w:b/>
          <w:bCs/>
          <w:color w:val="16337A"/>
          <w:sz w:val="23"/>
          <w:szCs w:val="23"/>
        </w:rPr>
        <w:t xml:space="preserve">1.3 용어 정의</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7120"/>
      </w:tblGrid>
      <w:tr>
        <w:trPr>
          <w:cantSplit/>
          <w:tblHeader/>
        </w:trPr>
        <w:tc>
          <w:tcPr>
            <w:tcW w:type="dxa" w:w="19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용어</w:t>
            </w:r>
          </w:p>
        </w:tc>
        <w:tc>
          <w:tcPr>
            <w:tcW w:type="dxa" w:w="71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정의</w:t>
            </w:r>
          </w:p>
        </w:tc>
      </w:tr>
      <w:tr>
        <w:trPr>
          <w:cantSplit/>
          <w:tblHeader w:val="false"/>
        </w:trPr>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클레임(Claim)</w:t>
            </w:r>
          </w:p>
        </w:tc>
        <w:tc>
          <w:tcPr>
            <w:tcW w:type="dxa" w:w="71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렌터카·리스 차량의 사고 1건에 대해 접수부터 지급·종결까지 이어지는 처리 단위. 사고번호(CLM-YYYY-NNNN)로 식별</w:t>
            </w:r>
          </w:p>
        </w:tc>
      </w:tr>
      <w:tr>
        <w:trPr>
          <w:cantSplit/>
          <w:tblHeader w:val="false"/>
        </w:trPr>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Flow 단계</w:t>
            </w:r>
          </w:p>
        </w:tc>
        <w:tc>
          <w:tcPr>
            <w:tcW w:type="dxa" w:w="71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클레임의 진행 단계. 접수·선견적 / 수리 승인 / 손해사정 / 관리·정산의 4단계</w:t>
            </w:r>
          </w:p>
        </w:tc>
      </w:tr>
      <w:tr>
        <w:trPr>
          <w:cantSplit/>
          <w:tblHeader w:val="false"/>
        </w:trPr>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조치유형</w:t>
            </w:r>
          </w:p>
        </w:tc>
        <w:tc>
          <w:tcPr>
            <w:tcW w:type="dxa" w:w="71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단계와 독립적으로 부여되는 미결 사유 분류. 면허미확인·계약조사·선견미징구·일보미입력·검토미회신·청구미수신·손해사정완료·상신중·VOC·종결취소건·종결의 11종</w:t>
            </w:r>
          </w:p>
        </w:tc>
      </w:tr>
      <w:tr>
        <w:trPr>
          <w:cantSplit/>
          <w:tblHeader w:val="false"/>
        </w:trPr>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선견적</w:t>
            </w:r>
          </w:p>
        </w:tc>
        <w:tc>
          <w:tcPr>
            <w:tcW w:type="dxa" w:w="71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수리 착수 전 정비업체가 제출하는 예상 수리비 견적</w:t>
            </w:r>
          </w:p>
        </w:tc>
      </w:tr>
      <w:tr>
        <w:trPr>
          <w:cantSplit/>
          <w:tblHeader w:val="false"/>
        </w:trPr>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AOS</w:t>
            </w:r>
          </w:p>
        </w:tc>
        <w:tc>
          <w:tcPr>
            <w:tcW w:type="dxa" w:w="71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자동차 수리비 견적·손해사정 산출 외부 시스템. 본 시스템은 그 결과를 스냅샷으로 임포트</w:t>
            </w:r>
          </w:p>
        </w:tc>
      </w:tr>
      <w:tr>
        <w:trPr>
          <w:cantSplit/>
          <w:tblHeader w:val="false"/>
        </w:trPr>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지급결의</w:t>
            </w:r>
          </w:p>
        </w:tc>
        <w:tc>
          <w:tcPr>
            <w:tcW w:type="dxa" w:w="71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청구서 1건 단위로 검토·확정한 지급예정 내역. 사고번호 기준 결의순번(001, 002…) 부여</w:t>
            </w:r>
          </w:p>
        </w:tc>
      </w:tr>
      <w:tr>
        <w:trPr>
          <w:cantSplit/>
          <w:tblHeader w:val="false"/>
        </w:trPr>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지급결재</w:t>
            </w:r>
          </w:p>
        </w:tc>
        <w:tc>
          <w:tcPr>
            <w:tcW w:type="dxa" w:w="71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복수의 지급결의를 선택·합산하여 상신하는 결재 단위. 사고번호 기준 결재순번을 별도 채번</w:t>
            </w:r>
          </w:p>
        </w:tc>
      </w:tr>
      <w:tr>
        <w:trPr>
          <w:cantSplit/>
          <w:tblHeader w:val="false"/>
        </w:trPr>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과실상계</w:t>
            </w:r>
          </w:p>
        </w:tc>
        <w:tc>
          <w:tcPr>
            <w:tcW w:type="dxa" w:w="71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손해사정금액에 자차 과실률을 곱하여 공제하는 처리. 청구금액에는 적용하지 않음</w:t>
            </w:r>
          </w:p>
        </w:tc>
      </w:tr>
      <w:tr>
        <w:trPr>
          <w:cantSplit/>
          <w:tblHeader w:val="false"/>
        </w:trPr>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재원(財源) 정산</w:t>
            </w:r>
          </w:p>
        </w:tc>
        <w:tc>
          <w:tcPr>
            <w:tcW w:type="dxa" w:w="71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공임소계·부품소계·부가세·자기부담금액으로 구성되는 손해사정 지급액 산출 체계</w:t>
            </w:r>
          </w:p>
        </w:tc>
      </w:tr>
      <w:tr>
        <w:trPr>
          <w:cantSplit/>
          <w:tblHeader w:val="false"/>
        </w:trPr>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순환배당</w:t>
            </w:r>
          </w:p>
        </w:tc>
        <w:tc>
          <w:tcPr>
            <w:tcW w:type="dxa" w:w="71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신규 사고건을 담당자에게 자동 할당하는 규칙. 지역그룹·업체그룹 매칭과 배당건수를 기준으로 순번 산출</w:t>
            </w:r>
          </w:p>
        </w:tc>
      </w:tr>
      <w:tr>
        <w:trPr>
          <w:cantSplit/>
          <w:tblHeader w:val="false"/>
        </w:trPr>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전결권한</w:t>
            </w:r>
          </w:p>
        </w:tc>
        <w:tc>
          <w:tcPr>
            <w:tcW w:type="dxa" w:w="71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직원별 결재레벨·추산한도·지급한도·종결권한(면책/지급)의 집합</w:t>
            </w:r>
          </w:p>
        </w:tc>
      </w:tr>
    </w:tbl>
    <w:p>
      <w:r>
        <w:br w:type="page"/>
      </w:r>
    </w:p>
    <w:p>
      <w:pPr>
        <w:pStyle w:val="Heading1"/>
        <w:pBdr>
          <w:bottom w:val="single" w:color="1D4ED8" w:sz="12" w:space="4"/>
        </w:pBdr>
        <w:spacing w:after="160" w:before="360"/>
      </w:pPr>
      <w:r>
        <w:rPr>
          <w:rFonts w:ascii="맑은 고딕" w:cs="맑은 고딕" w:eastAsia="맑은 고딕" w:hAnsi="맑은 고딕"/>
          <w:b/>
          <w:bCs/>
          <w:color w:val="1D4ED8"/>
          <w:sz w:val="28"/>
          <w:szCs w:val="28"/>
        </w:rPr>
        <w:t xml:space="preserve">Ⅱ. 발명의 배경 및 종래기술의 한계</w:t>
      </w:r>
    </w:p>
    <w:p>
      <w:pPr>
        <w:pStyle w:val="Heading2"/>
        <w:spacing w:after="120" w:before="280"/>
      </w:pPr>
      <w:r>
        <w:rPr>
          <w:rFonts w:ascii="맑은 고딕" w:cs="맑은 고딕" w:eastAsia="맑은 고딕" w:hAnsi="맑은 고딕"/>
          <w:b/>
          <w:bCs/>
          <w:color w:val="16337A"/>
          <w:sz w:val="23"/>
          <w:szCs w:val="23"/>
        </w:rPr>
        <w:t xml:space="preserve">2.1 대상 업무의 특수성</w:t>
      </w:r>
    </w:p>
    <w:p>
      <w:pPr>
        <w:spacing w:after="100" w:before="40" w:line="300"/>
        <w:jc w:val="both"/>
      </w:pPr>
      <w:r>
        <w:rPr>
          <w:rFonts w:ascii="맑은 고딕" w:cs="맑은 고딕" w:eastAsia="맑은 고딕" w:hAnsi="맑은 고딕"/>
          <w:color w:val="1B2430"/>
          <w:sz w:val="20"/>
          <w:szCs w:val="20"/>
        </w:rPr>
        <w:t xml:space="preserve">렌터카·리스 사업자의 차량 클레임 업무는 보험사의 보상업무와 유사해 보이나, 다음의 구조적 차이로 인해 보험 보상시스템을 그대로 적용할 수 없다.</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3470"/>
      </w:tblGrid>
      <w:tr>
        <w:trPr>
          <w:cantSplit/>
          <w:tblHeader/>
        </w:trPr>
        <w:tc>
          <w:tcPr>
            <w:tcW w:type="dxa" w:w="235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구분</w:t>
            </w:r>
          </w:p>
        </w:tc>
        <w:tc>
          <w:tcPr>
            <w:tcW w:type="dxa" w:w="32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보험사 보상업무</w:t>
            </w:r>
          </w:p>
        </w:tc>
        <w:tc>
          <w:tcPr>
            <w:tcW w:type="dxa" w:w="347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렌터카·리스 사업자의 클레임 업무</w:t>
            </w:r>
          </w:p>
        </w:tc>
      </w:tr>
      <w:tr>
        <w:trPr>
          <w:cantSplit/>
          <w:tblHeader w:val="false"/>
        </w:trPr>
        <w:tc>
          <w:tcPr>
            <w:tcW w:type="dxa" w:w="23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손해의 귀속</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피보험자의 손해를 보험금으로 전보</w:t>
            </w:r>
          </w:p>
        </w:tc>
        <w:tc>
          <w:tcPr>
            <w:tcW w:type="dxa" w:w="34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차량 소유자(사업자) 자신의 자산손해 + 임차인 면책금 + 보험금이 혼재</w:t>
            </w:r>
          </w:p>
        </w:tc>
      </w:tr>
      <w:tr>
        <w:trPr>
          <w:cantSplit/>
          <w:tblHeader w:val="false"/>
        </w:trPr>
        <w:tc>
          <w:tcPr>
            <w:tcW w:type="dxa" w:w="23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계약 데이터</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보험증권 단일</w:t>
            </w:r>
          </w:p>
        </w:tc>
        <w:tc>
          <w:tcPr>
            <w:tcW w:type="dxa" w:w="34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임대차계약(렌트/리스)·면책약정·운전자범위·대차특약이 병존, 계약시스템과 별도 IF 필요</w:t>
            </w:r>
          </w:p>
        </w:tc>
      </w:tr>
      <w:tr>
        <w:trPr>
          <w:cantSplit/>
          <w:tblHeader w:val="false"/>
        </w:trPr>
        <w:tc>
          <w:tcPr>
            <w:tcW w:type="dxa" w:w="23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청구서 다발성</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통상 정비 1건</w:t>
            </w:r>
          </w:p>
        </w:tc>
        <w:tc>
          <w:tcPr>
            <w:tcW w:type="dxa" w:w="34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정비·부품·유리·실런트·운반·렌트·교통 등 복수 지급처가 각각 청구서를 발행</w:t>
            </w:r>
          </w:p>
        </w:tc>
      </w:tr>
      <w:tr>
        <w:trPr>
          <w:cantSplit/>
          <w:tblHeader w:val="false"/>
        </w:trPr>
        <w:tc>
          <w:tcPr>
            <w:tcW w:type="dxa" w:w="23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지급 단위</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보험금 1건 지급</w:t>
            </w:r>
          </w:p>
        </w:tc>
        <w:tc>
          <w:tcPr>
            <w:tcW w:type="dxa" w:w="34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청구서별 결의를 개별 확정한 뒤, 복수 결의를 합산하여 1건으로 결재·지급</w:t>
            </w:r>
          </w:p>
        </w:tc>
      </w:tr>
      <w:tr>
        <w:trPr>
          <w:cantSplit/>
          <w:tblHeader w:val="false"/>
        </w:trPr>
        <w:tc>
          <w:tcPr>
            <w:tcW w:type="dxa" w:w="23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종결의 이원성</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지급 종결 중심</w:t>
            </w:r>
          </w:p>
        </w:tc>
        <w:tc>
          <w:tcPr>
            <w:tcW w:type="dxa" w:w="34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면책 종결(무지급)과 지급 종결이 병존하며 요구 선행조건이 상이</w:t>
            </w:r>
          </w:p>
        </w:tc>
      </w:tr>
      <w:tr>
        <w:trPr>
          <w:cantSplit/>
          <w:tblHeader w:val="false"/>
        </w:trPr>
        <w:tc>
          <w:tcPr>
            <w:tcW w:type="dxa" w:w="23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배당</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사고 접수 단위 배정</w:t>
            </w:r>
          </w:p>
        </w:tc>
        <w:tc>
          <w:tcPr>
            <w:tcW w:type="dxa" w:w="34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일 배당한도·지역/업체 그룹·반차·부재를 반영한 순환배당 필요</w:t>
            </w:r>
          </w:p>
        </w:tc>
      </w:tr>
    </w:tbl>
    <w:p>
      <w:pPr>
        <w:pStyle w:val="Heading2"/>
        <w:spacing w:after="120" w:before="280"/>
      </w:pPr>
      <w:r>
        <w:rPr>
          <w:rFonts w:ascii="맑은 고딕" w:cs="맑은 고딕" w:eastAsia="맑은 고딕" w:hAnsi="맑은 고딕"/>
          <w:b/>
          <w:bCs/>
          <w:color w:val="16337A"/>
          <w:sz w:val="23"/>
          <w:szCs w:val="23"/>
        </w:rPr>
        <w:t xml:space="preserve">2.2 종래 시스템 유형별 한계</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20"/>
      </w:tblGrid>
      <w:tr>
        <w:trPr>
          <w:cantSplit/>
          <w:tblHeader/>
        </w:trPr>
        <w:tc>
          <w:tcPr>
            <w:tcW w:type="dxa" w:w="19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종래기술 유형</w:t>
            </w:r>
          </w:p>
        </w:tc>
        <w:tc>
          <w:tcPr>
            <w:tcW w:type="dxa" w:w="34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개요</w:t>
            </w:r>
          </w:p>
        </w:tc>
        <w:tc>
          <w:tcPr>
            <w:tcW w:type="dxa" w:w="37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본 발명과 대비되는 한계</w:t>
            </w:r>
          </w:p>
        </w:tc>
      </w:tr>
      <w:tr>
        <w:trPr>
          <w:cantSplit/>
          <w:tblHeader w:val="false"/>
        </w:trPr>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보험사 보상시스템</w:t>
            </w:r>
          </w:p>
        </w:tc>
        <w:tc>
          <w:tcPr>
            <w:tcW w:type="dxa" w:w="3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사고접수·지급 중심의 대형 기간계 시스템</w:t>
            </w:r>
          </w:p>
        </w:tc>
        <w:tc>
          <w:tcPr>
            <w:tcW w:type="dxa" w:w="37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미결 분류가 단계 단일축이어서 “어느 단계에서 왜 막혔는지”가 데이터로 표현되지 않음. 결의·결재가 1:1로 고정되어 복수 청구서 합산결재 불가</w:t>
            </w:r>
          </w:p>
        </w:tc>
      </w:tr>
      <w:tr>
        <w:trPr>
          <w:cantSplit/>
          <w:tblHeader w:val="false"/>
        </w:trPr>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AOS 등 수리비 견적 시스템</w:t>
            </w:r>
          </w:p>
        </w:tc>
        <w:tc>
          <w:tcPr>
            <w:tcW w:type="dxa" w:w="3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수리비 견적·손해사정 산출 특화</w:t>
            </w:r>
          </w:p>
        </w:tc>
        <w:tc>
          <w:tcPr>
            <w:tcW w:type="dxa" w:w="37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견적 산출에 특화되어 있고, 그 결과를 사업자 내부의 결의·결재·종결 통제와 연결하는 수단이 없음. 결과가 화면 조회에 그쳐 재사용 불가</w:t>
            </w:r>
          </w:p>
        </w:tc>
      </w:tr>
      <w:tr>
        <w:trPr>
          <w:cantSplit/>
          <w:tblHeader w:val="false"/>
        </w:trPr>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범용 ERP 전자결재</w:t>
            </w:r>
          </w:p>
        </w:tc>
        <w:tc>
          <w:tcPr>
            <w:tcW w:type="dxa" w:w="3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품의·결재선·전결한도 일반 처리</w:t>
            </w:r>
          </w:p>
        </w:tc>
        <w:tc>
          <w:tcPr>
            <w:tcW w:type="dxa" w:w="37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도메인 금액규칙(과실상계, 면책금, 재원 정산)이 결재 데이터와 분리되어 있어, 금액 전제가 바뀌어도 상신 대기 문서가 자동으로 무효화·재검토 상태로 전이되지 않음</w:t>
            </w:r>
          </w:p>
        </w:tc>
      </w:tr>
      <w:tr>
        <w:trPr>
          <w:cantSplit/>
          <w:tblHeader w:val="false"/>
        </w:trPr>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단품 AI-OCR / RPA</w:t>
            </w:r>
          </w:p>
        </w:tc>
        <w:tc>
          <w:tcPr>
            <w:tcW w:type="dxa" w:w="3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문서 인식·자동 입력</w:t>
            </w:r>
          </w:p>
        </w:tc>
        <w:tc>
          <w:tcPr>
            <w:tcW w:type="dxa" w:w="37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인식 결과를 담당자가 수정하면 원본이 덮어써져 소실됨. 수정 사실이 업무 데이터로 남지 않아 인식품질 개선 루프가 성립하지 않음</w:t>
            </w:r>
          </w:p>
        </w:tc>
      </w:tr>
      <w:tr>
        <w:trPr>
          <w:cantSplit/>
          <w:tblHeader w:val="false"/>
        </w:trPr>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콜센터 / CRM</w:t>
            </w:r>
          </w:p>
        </w:tc>
        <w:tc>
          <w:tcPr>
            <w:tcW w:type="dxa" w:w="3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고객 컨택·발송 이력 관리</w:t>
            </w:r>
          </w:p>
        </w:tc>
        <w:tc>
          <w:tcPr>
            <w:tcW w:type="dxa" w:w="37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발송 이력이 클레임의 미결 상태와 연동되지 않아, 정보 미확보로 인한 정지 사유가 자동으로 해소·재개되지 않음</w:t>
            </w:r>
          </w:p>
        </w:tc>
      </w:tr>
      <w:tr>
        <w:trPr>
          <w:cantSplit/>
          <w:tblHeader w:val="false"/>
        </w:trPr>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단순 RPA 자동처리</w:t>
            </w:r>
          </w:p>
        </w:tc>
        <w:tc>
          <w:tcPr>
            <w:tcW w:type="dxa" w:w="3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정형 반복작업의 무인 수행</w:t>
            </w:r>
          </w:p>
        </w:tc>
        <w:tc>
          <w:tcPr>
            <w:tcW w:type="dxa" w:w="37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예외 발생 시 로그만 남기고 중단되어, 예외건이 “어느 단계·어떤 사유로” 사람에게 넘어가는지 업무 목록에 편입되지 않음</w:t>
            </w:r>
          </w:p>
        </w:tc>
      </w:tr>
    </w:tbl>
    <w:p>
      <w:pPr>
        <w:pStyle w:val="Heading2"/>
        <w:spacing w:after="120" w:before="280"/>
      </w:pPr>
      <w:r>
        <w:rPr>
          <w:rFonts w:ascii="맑은 고딕" w:cs="맑은 고딕" w:eastAsia="맑은 고딕" w:hAnsi="맑은 고딕"/>
          <w:b/>
          <w:bCs/>
          <w:color w:val="16337A"/>
          <w:sz w:val="23"/>
          <w:szCs w:val="23"/>
        </w:rPr>
        <w:t xml:space="preserve">2.3 본 발명이 해결하고자 하는 기술적 과제</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5320"/>
      </w:tblGrid>
      <w:tr>
        <w:trPr>
          <w:cantSplit/>
          <w:tblHeader/>
        </w:trPr>
        <w:tc>
          <w:tcPr>
            <w:tcW w:type="dxa" w:w="6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No</w:t>
            </w:r>
          </w:p>
        </w:tc>
        <w:tc>
          <w:tcPr>
            <w:tcW w:type="dxa" w:w="31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기술적 과제</w:t>
            </w:r>
          </w:p>
        </w:tc>
        <w:tc>
          <w:tcPr>
            <w:tcW w:type="dxa" w:w="53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해결 수단의 개요 (본 발명)</w:t>
            </w:r>
          </w:p>
        </w:tc>
      </w:tr>
      <w:tr>
        <w:trPr>
          <w:cantSplit/>
          <w:tblHeader w:val="false"/>
        </w:trPr>
        <w:tc>
          <w:tcPr>
            <w:tcW w:type="dxa" w:w="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과제 1</w:t>
            </w:r>
          </w:p>
        </w:tc>
        <w:tc>
          <w:tcPr>
            <w:tcW w:type="dxa" w:w="3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진행단계와 정지사유가 하나의 축으로 뭉뚱그려져, 미결 건의 병목 원인을 기계적으로 식별·집계할 수 없음</w:t>
            </w:r>
          </w:p>
        </w:tc>
        <w:tc>
          <w:tcPr>
            <w:tcW w:type="dxa" w:w="5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Flow 단계(4)와 조치유형(11)을 독립 속성으로 분리하여 2축 교차 분류하고, 단계별 검증조건을 정의하여 미결 사유를 코드화</w:t>
            </w:r>
          </w:p>
        </w:tc>
      </w:tr>
      <w:tr>
        <w:trPr>
          <w:cantSplit/>
          <w:tblHeader w:val="false"/>
        </w:trPr>
        <w:tc>
          <w:tcPr>
            <w:tcW w:type="dxa" w:w="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과제 2</w:t>
            </w:r>
          </w:p>
        </w:tc>
        <w:tc>
          <w:tcPr>
            <w:tcW w:type="dxa" w:w="3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자동처리 대상과 사람 판단 대상을 사전에 구분할 수 없어, 전건을 사람이 확인해야 함</w:t>
            </w:r>
          </w:p>
        </w:tc>
        <w:tc>
          <w:tcPr>
            <w:tcW w:type="dxa" w:w="5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단계별 검증조건을 순차 판정하여 전 단계 통과 건은 무인 완료 처리하고, 불통과 건은 불통과 단계·사유를 부여하여 미결 목록에 잔류시키는 예외 정지 구조</w:t>
            </w:r>
          </w:p>
        </w:tc>
      </w:tr>
      <w:tr>
        <w:trPr>
          <w:cantSplit/>
          <w:tblHeader w:val="false"/>
        </w:trPr>
        <w:tc>
          <w:tcPr>
            <w:tcW w:type="dxa" w:w="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과제 3</w:t>
            </w:r>
          </w:p>
        </w:tc>
        <w:tc>
          <w:tcPr>
            <w:tcW w:type="dxa" w:w="3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OCR 인식 오류를 담당자가 수정하면 원본이 소실되어 인식품질을 계량할 수 없음</w:t>
            </w:r>
          </w:p>
        </w:tc>
        <w:tc>
          <w:tcPr>
            <w:tcW w:type="dxa" w:w="5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OCR 원본값을 행 단위로 보존하고, 확정 시점에 필드 단위로 차분(diff)하여 변경 이력 레코드를 생성</w:t>
            </w:r>
          </w:p>
        </w:tc>
      </w:tr>
      <w:tr>
        <w:trPr>
          <w:cantSplit/>
          <w:tblHeader w:val="false"/>
        </w:trPr>
        <w:tc>
          <w:tcPr>
            <w:tcW w:type="dxa" w:w="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과제 4</w:t>
            </w:r>
          </w:p>
        </w:tc>
        <w:tc>
          <w:tcPr>
            <w:tcW w:type="dxa" w:w="3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청구서가 복수인 경우 결의와 결재가 1:1로 묶여 합산 결재·부분 반려 처리가 불가</w:t>
            </w:r>
          </w:p>
        </w:tc>
        <w:tc>
          <w:tcPr>
            <w:tcW w:type="dxa" w:w="5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결의순번과 결재순번을 독립 채번하고, 복수 결의를 선택·합산하여 결재 1건을 생성하는 N:1 연결 구조 및 역방향 상태 전파</w:t>
            </w:r>
          </w:p>
        </w:tc>
      </w:tr>
      <w:tr>
        <w:trPr>
          <w:cantSplit/>
          <w:tblHeader w:val="false"/>
        </w:trPr>
        <w:tc>
          <w:tcPr>
            <w:tcW w:type="dxa" w:w="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과제 5</w:t>
            </w:r>
          </w:p>
        </w:tc>
        <w:tc>
          <w:tcPr>
            <w:tcW w:type="dxa" w:w="3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과실률 등 금액 전제가 사후에 확정·변경되어도 기존 결의·결재 금액이 자동으로 재검증되지 않음</w:t>
            </w:r>
          </w:p>
        </w:tc>
        <w:tc>
          <w:tcPr>
            <w:tcW w:type="dxa" w:w="5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과실률 확정 여부를 상태값으로 관리하여 확정 전에는 결의 확정·결재 상신을 차단하고, 변경 시 미결재 결의를 ‘재확인 필요’로 강등 후 최신 과실률로 재계산</w:t>
            </w:r>
          </w:p>
        </w:tc>
      </w:tr>
      <w:tr>
        <w:trPr>
          <w:cantSplit/>
          <w:tblHeader w:val="false"/>
        </w:trPr>
        <w:tc>
          <w:tcPr>
            <w:tcW w:type="dxa" w:w="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과제 6</w:t>
            </w:r>
          </w:p>
        </w:tc>
        <w:tc>
          <w:tcPr>
            <w:tcW w:type="dxa" w:w="3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AI 심사 결과의 점수만으로 판정하면 인식 신뢰도가 낮은 건도 자동 승인될 수 있음</w:t>
            </w:r>
          </w:p>
        </w:tc>
        <w:tc>
          <w:tcPr>
            <w:tcW w:type="dxa" w:w="5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배점 합산 판정과 별도로 신뢰도 임계값 미달 시 판정을 강제 보류로 치환하는 2단 판정 구조</w:t>
            </w:r>
          </w:p>
        </w:tc>
      </w:tr>
      <w:tr>
        <w:trPr>
          <w:cantSplit/>
          <w:tblHeader w:val="false"/>
        </w:trPr>
        <w:tc>
          <w:tcPr>
            <w:tcW w:type="dxa" w:w="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과제 7</w:t>
            </w:r>
          </w:p>
        </w:tc>
        <w:tc>
          <w:tcPr>
            <w:tcW w:type="dxa" w:w="3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배당이 단순 순번·랜덤이어서 반차·부재·한도·담당 그룹이 반영되지 않고, 결과를 사전에 검증할 수 없음</w:t>
            </w:r>
          </w:p>
        </w:tc>
        <w:tc>
          <w:tcPr>
            <w:tcW w:type="dxa" w:w="5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다단 배제사유를 정의 순서대로 판정하고, 그룹 매칭 tier·현재 배당건수·사번의 3단 안정정렬로 결정론적 순번을 산출하며, 저장하지 않는 시뮬레이션으로 사전 검증</w:t>
            </w:r>
          </w:p>
        </w:tc>
      </w:tr>
      <w:tr>
        <w:trPr>
          <w:cantSplit/>
          <w:tblHeader w:val="false"/>
        </w:trPr>
        <w:tc>
          <w:tcPr>
            <w:tcW w:type="dxa" w:w="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과제 8</w:t>
            </w:r>
          </w:p>
        </w:tc>
        <w:tc>
          <w:tcPr>
            <w:tcW w:type="dxa" w:w="3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종결 권한이 단일 조건으로만 통제되어, 미검증 상태에서 종결이 발생</w:t>
            </w:r>
          </w:p>
        </w:tc>
        <w:tc>
          <w:tcPr>
            <w:tcW w:type="dxa" w:w="5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면책 종결과 지급 종결에 서로 다른 선행조건(탭별 저장 상태 및 현재 탭 위치)을 부여하는 차등 게이팅</w:t>
            </w:r>
          </w:p>
        </w:tc>
      </w:tr>
    </w:tbl>
    <w:p>
      <w:r>
        <w:br w:type="page"/>
      </w:r>
    </w:p>
    <w:p>
      <w:pPr>
        <w:pStyle w:val="Heading1"/>
        <w:pBdr>
          <w:bottom w:val="single" w:color="1D4ED8" w:sz="12" w:space="4"/>
        </w:pBdr>
        <w:spacing w:after="160" w:before="360"/>
      </w:pPr>
      <w:r>
        <w:rPr>
          <w:rFonts w:ascii="맑은 고딕" w:cs="맑은 고딕" w:eastAsia="맑은 고딕" w:hAnsi="맑은 고딕"/>
          <w:b/>
          <w:bCs/>
          <w:color w:val="1D4ED8"/>
          <w:sz w:val="28"/>
          <w:szCs w:val="28"/>
        </w:rPr>
        <w:t xml:space="preserve">Ⅲ. 발명의 전체 구성</w:t>
      </w:r>
    </w:p>
    <w:p>
      <w:pPr>
        <w:pStyle w:val="Heading2"/>
        <w:spacing w:after="120" w:before="280"/>
      </w:pPr>
      <w:r>
        <w:rPr>
          <w:rFonts w:ascii="맑은 고딕" w:cs="맑은 고딕" w:eastAsia="맑은 고딕" w:hAnsi="맑은 고딕"/>
          <w:b/>
          <w:bCs/>
          <w:color w:val="16337A"/>
          <w:sz w:val="23"/>
          <w:szCs w:val="23"/>
        </w:rPr>
        <w:t xml:space="preserve">3.1 시스템 구성 (기능부 단위)</w:t>
      </w:r>
    </w:p>
    <w:p>
      <w:pPr>
        <w:spacing w:after="100" w:before="40" w:line="300"/>
        <w:jc w:val="both"/>
      </w:pPr>
      <w:r>
        <w:rPr>
          <w:rFonts w:ascii="맑은 고딕" w:cs="맑은 고딕" w:eastAsia="맑은 고딕" w:hAnsi="맑은 고딕"/>
          <w:color w:val="1B2430"/>
          <w:sz w:val="20"/>
          <w:szCs w:val="20"/>
        </w:rPr>
        <w:t xml:space="preserve">본 시스템은 다음 9개 기능부와 1개 공용 데이터부로 구성되며, 각 기능부는 공용 데이터부를 단일 원천(single source)으로 참조하여 상태를 공유한다.</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200"/>
        <w:gridCol w:w="3320"/>
      </w:tblGrid>
      <w:tr>
        <w:trPr>
          <w:cantSplit/>
          <w:tblHeader/>
        </w:trPr>
        <w:tc>
          <w:tcPr>
            <w:tcW w:type="dxa" w:w="5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No</w:t>
            </w:r>
          </w:p>
        </w:tc>
        <w:tc>
          <w:tcPr>
            <w:tcW w:type="dxa" w:w="20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기능부</w:t>
            </w:r>
          </w:p>
        </w:tc>
        <w:tc>
          <w:tcPr>
            <w:tcW w:type="dxa" w:w="32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입력</w:t>
            </w:r>
          </w:p>
        </w:tc>
        <w:tc>
          <w:tcPr>
            <w:tcW w:type="dxa" w:w="33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출력 / 상태 변경</w:t>
            </w:r>
          </w:p>
        </w:tc>
      </w:tr>
      <w:tr>
        <w:trPr>
          <w:cantSplit/>
          <w:tblHeader w:val="false"/>
        </w:trPr>
        <w:tc>
          <w:tcPr>
            <w:tcW w:type="dxa" w:w="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①</w:t>
            </w:r>
          </w:p>
        </w:tc>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미결 분류부</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클레임 마스터(단계·조치유형·긴급도·처리상태·금액)</w:t>
            </w:r>
          </w:p>
        </w:tc>
        <w:tc>
          <w:tcPr>
            <w:tcW w:type="dxa" w:w="3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2축 교차 필터링 결과, 단계별 미결 집계, 조치유형별 건수</w:t>
            </w:r>
          </w:p>
        </w:tc>
      </w:tr>
      <w:tr>
        <w:trPr>
          <w:cantSplit/>
          <w:tblHeader w:val="false"/>
        </w:trPr>
        <w:tc>
          <w:tcPr>
            <w:tcW w:type="dxa" w:w="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②</w:t>
            </w:r>
          </w:p>
        </w:tc>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자동처리 판정부</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단계별 검증조건 값(운전자정보·계약확인·선견적·과실확정·청구서·사진·AI견적·금액)</w:t>
            </w:r>
          </w:p>
        </w:tc>
        <w:tc>
          <w:tcPr>
            <w:tcW w:type="dxa" w:w="3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무인 완료 또는 (정지단계, 정지사유)를 부여한 수동 전환</w:t>
            </w:r>
          </w:p>
        </w:tc>
      </w:tr>
      <w:tr>
        <w:trPr>
          <w:cantSplit/>
          <w:tblHeader w:val="false"/>
        </w:trPr>
        <w:tc>
          <w:tcPr>
            <w:tcW w:type="dxa" w:w="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③</w:t>
            </w:r>
          </w:p>
        </w:tc>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접수·상세 처리부</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계약·사고정보, 피해 진행정보, 청구 견적정보</w:t>
            </w:r>
          </w:p>
        </w:tc>
        <w:tc>
          <w:tcPr>
            <w:tcW w:type="dxa" w:w="3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탭별 저장 플래그, 파손부위 대조 결과, 수리승인 지시 송신</w:t>
            </w:r>
          </w:p>
        </w:tc>
      </w:tr>
      <w:tr>
        <w:trPr>
          <w:cantSplit/>
          <w:tblHeader w:val="false"/>
        </w:trPr>
        <w:tc>
          <w:tcPr>
            <w:tcW w:type="dxa" w:w="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④</w:t>
            </w:r>
          </w:p>
        </w:tc>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AI-OCR 전산화부</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부품청구서 파일(PDF/JPG/PNG)</w:t>
            </w:r>
          </w:p>
        </w:tc>
        <w:tc>
          <w:tcPr>
            <w:tcW w:type="dxa" w:w="3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행 단위 인식결과, 원본 보존값, 필드단위 차분 이력, 스테이징 배치</w:t>
            </w:r>
          </w:p>
        </w:tc>
      </w:tr>
      <w:tr>
        <w:trPr>
          <w:cantSplit/>
          <w:tblHeader w:val="false"/>
        </w:trPr>
        <w:tc>
          <w:tcPr>
            <w:tcW w:type="dxa" w:w="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⑤</w:t>
            </w:r>
          </w:p>
        </w:tc>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외부견적 연동부</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AOS 스냅샷(라인아이템·이미지·재원)</w:t>
            </w:r>
          </w:p>
        </w:tc>
        <w:tc>
          <w:tcPr>
            <w:tcW w:type="dxa" w:w="3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견적 그리드 전개, 이미지 주입, 재원 정산액 산출 및 손해사정금액 오버라이드</w:t>
            </w:r>
          </w:p>
        </w:tc>
      </w:tr>
      <w:tr>
        <w:trPr>
          <w:cantSplit/>
          <w:tblHeader w:val="false"/>
        </w:trPr>
        <w:tc>
          <w:tcPr>
            <w:tcW w:type="dxa" w:w="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⑥</w:t>
            </w:r>
          </w:p>
        </w:tc>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AI 심사부</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사진·선견적·청구서 보유 여부, 항목별 배점, 신뢰도</w:t>
            </w:r>
          </w:p>
        </w:tc>
        <w:tc>
          <w:tcPr>
            <w:tcW w:type="dxa" w:w="3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판정(적정/조건부/보류/부적정/자료대기/분석실패), 라인아이템 인정·제외, 검토회신문</w:t>
            </w:r>
          </w:p>
        </w:tc>
      </w:tr>
      <w:tr>
        <w:trPr>
          <w:cantSplit/>
          <w:tblHeader w:val="false"/>
        </w:trPr>
        <w:tc>
          <w:tcPr>
            <w:tcW w:type="dxa" w:w="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⑦</w:t>
            </w:r>
          </w:p>
        </w:tc>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지급결의·결재부</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확정 행 집합, 과실률, 결재자, 비밀번호</w:t>
            </w:r>
          </w:p>
        </w:tc>
        <w:tc>
          <w:tcPr>
            <w:tcW w:type="dxa" w:w="3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결의순번·결재순번 채번, 결의 상태 전이, 결재 문서 생성</w:t>
            </w:r>
          </w:p>
        </w:tc>
      </w:tr>
      <w:tr>
        <w:trPr>
          <w:cantSplit/>
          <w:tblHeader w:val="false"/>
        </w:trPr>
        <w:tc>
          <w:tcPr>
            <w:tcW w:type="dxa" w:w="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⑧</w:t>
            </w:r>
          </w:p>
        </w:tc>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권한·배당부</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직원별 전결권한·한도·배당설정·부재기간</w:t>
            </w:r>
          </w:p>
        </w:tc>
        <w:tc>
          <w:tcPr>
            <w:tcW w:type="dxa" w:w="3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배당 후보 순번, 최종 배당예정자, 제외사유, 변경이력</w:t>
            </w:r>
          </w:p>
        </w:tc>
      </w:tr>
      <w:tr>
        <w:trPr>
          <w:cantSplit/>
          <w:tblHeader w:val="false"/>
        </w:trPr>
        <w:tc>
          <w:tcPr>
            <w:tcW w:type="dxa" w:w="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⑨</w:t>
            </w:r>
          </w:p>
        </w:tc>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증빙·통지부</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사고건별 이미지 7폴더, 수신자, 템플릿</w:t>
            </w:r>
          </w:p>
        </w:tc>
        <w:tc>
          <w:tcPr>
            <w:tcW w:type="dxa" w:w="3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만료·인증형 보안링크 또는 직접첨부 발송, 발송 이력</w:t>
            </w:r>
          </w:p>
        </w:tc>
      </w:tr>
      <w:tr>
        <w:trPr>
          <w:cantSplit/>
          <w:tblHeader w:val="false"/>
        </w:trPr>
        <w:tc>
          <w:tcPr>
            <w:tcW w:type="dxa" w:w="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⓪</w:t>
            </w:r>
          </w:p>
        </w:tc>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공용 데이터부</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w:t>
            </w:r>
          </w:p>
        </w:tc>
        <w:tc>
          <w:tcPr>
            <w:tcW w:type="dxa" w:w="3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CLAIMS · PAYMENT_RESOLUTIONS · APPROVALS · staffAssignmentSettings · AI_REVIEWS · CLAIM_IMAGES · 평가마스터</w:t>
            </w:r>
          </w:p>
        </w:tc>
      </w:tr>
    </w:tbl>
    <w:p>
      <w:pPr>
        <w:pStyle w:val="Heading2"/>
        <w:spacing w:after="120" w:before="280"/>
      </w:pPr>
      <w:r>
        <w:rPr>
          <w:rFonts w:ascii="맑은 고딕" w:cs="맑은 고딕" w:eastAsia="맑은 고딕" w:hAnsi="맑은 고딕"/>
          <w:b/>
          <w:bCs/>
          <w:color w:val="16337A"/>
          <w:sz w:val="23"/>
          <w:szCs w:val="23"/>
        </w:rPr>
        <w:t xml:space="preserve">3.2 데이터 흐름 (기능부 간 연계)</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3470"/>
      </w:tblGrid>
      <w:tr>
        <w:trPr>
          <w:cantSplit/>
          <w:tblHeader/>
        </w:trPr>
        <w:tc>
          <w:tcPr>
            <w:tcW w:type="dxa" w:w="235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연계 구간</w:t>
            </w:r>
          </w:p>
        </w:tc>
        <w:tc>
          <w:tcPr>
            <w:tcW w:type="dxa" w:w="32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전달 데이터</w:t>
            </w:r>
          </w:p>
        </w:tc>
        <w:tc>
          <w:tcPr>
            <w:tcW w:type="dxa" w:w="347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연계의 기술적 의의</w:t>
            </w:r>
          </w:p>
        </w:tc>
      </w:tr>
      <w:tr>
        <w:trPr>
          <w:cantSplit/>
          <w:tblHeader w:val="false"/>
        </w:trPr>
        <w:tc>
          <w:tcPr>
            <w:tcW w:type="dxa" w:w="23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② → ①</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정지단계 · 정지사유</w:t>
            </w:r>
          </w:p>
        </w:tc>
        <w:tc>
          <w:tcPr>
            <w:tcW w:type="dxa" w:w="34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자동처리 실패 건이 폐기되지 않고 미결 목록의 특정 단계·조치유형으로 편입</w:t>
            </w:r>
          </w:p>
        </w:tc>
      </w:tr>
      <w:tr>
        <w:trPr>
          <w:cantSplit/>
          <w:tblHeader w:val="false"/>
        </w:trPr>
        <w:tc>
          <w:tcPr>
            <w:tcW w:type="dxa" w:w="23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④ → ⑦</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확정 행 집합 + 차분 이력</w:t>
            </w:r>
          </w:p>
        </w:tc>
        <w:tc>
          <w:tcPr>
            <w:tcW w:type="dxa" w:w="34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인식 결과가 곧바로 결의가 되지 않고 스테이징을 거쳐 청구내역에 반영된 뒤 결의로 확정</w:t>
            </w:r>
          </w:p>
        </w:tc>
      </w:tr>
      <w:tr>
        <w:trPr>
          <w:cantSplit/>
          <w:tblHeader w:val="false"/>
        </w:trPr>
        <w:tc>
          <w:tcPr>
            <w:tcW w:type="dxa" w:w="23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⑤ → ⑦</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재원 정산 지급액</w:t>
            </w:r>
          </w:p>
        </w:tc>
        <w:tc>
          <w:tcPr>
            <w:tcW w:type="dxa" w:w="34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외부 견적의 재원 합계가 결의의 손해사정금액을 오버라이드(assessedSource=AOS)</w:t>
            </w:r>
          </w:p>
        </w:tc>
      </w:tr>
      <w:tr>
        <w:trPr>
          <w:cantSplit/>
          <w:tblHeader w:val="false"/>
        </w:trPr>
        <w:tc>
          <w:tcPr>
            <w:tcW w:type="dxa" w:w="23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⑥ → ③/⑨</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부족자료 목록 · 요청 대상</w:t>
            </w:r>
          </w:p>
        </w:tc>
        <w:tc>
          <w:tcPr>
            <w:tcW w:type="dxa" w:w="34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AI 판정이 ‘자료대기’인 경우 요청할 자료 종류를 특정하여 통지부 호출</w:t>
            </w:r>
          </w:p>
        </w:tc>
      </w:tr>
      <w:tr>
        <w:trPr>
          <w:cantSplit/>
          <w:tblHeader w:val="false"/>
        </w:trPr>
        <w:tc>
          <w:tcPr>
            <w:tcW w:type="dxa" w:w="23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⑦ ↔ ⑧</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결재자 전결권한 · 한도</w:t>
            </w:r>
          </w:p>
        </w:tc>
        <w:tc>
          <w:tcPr>
            <w:tcW w:type="dxa" w:w="34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결재자 선택에 따라 결재 가능 여부·한도 판정 근거를 동일 데이터에서 참조</w:t>
            </w:r>
          </w:p>
        </w:tc>
      </w:tr>
      <w:tr>
        <w:trPr>
          <w:cantSplit/>
          <w:tblHeader w:val="false"/>
        </w:trPr>
        <w:tc>
          <w:tcPr>
            <w:tcW w:type="dxa" w:w="23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⑦ → ⑦</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 상태 → 결의 상태</w:t>
            </w:r>
          </w:p>
        </w:tc>
        <w:tc>
          <w:tcPr>
            <w:tcW w:type="dxa" w:w="34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결재의 승인·반려·상신취소가 연결된 모든 결의의 상태로 역전파</w:t>
            </w:r>
          </w:p>
        </w:tc>
      </w:tr>
      <w:tr>
        <w:trPr>
          <w:cantSplit/>
          <w:tblHeader w:val="false"/>
        </w:trPr>
        <w:tc>
          <w:tcPr>
            <w:tcW w:type="dxa" w:w="23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③ → ⑦</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과실률 확정 상태</w:t>
            </w:r>
          </w:p>
        </w:tc>
        <w:tc>
          <w:tcPr>
            <w:tcW w:type="dxa" w:w="34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확정 전 결의확정·결재상신 차단, 확정 후 변경 시 미결재 결의 일괄 강등</w:t>
            </w:r>
          </w:p>
        </w:tc>
      </w:tr>
    </w:tbl>
    <w:p>
      <w:pPr>
        <w:pStyle w:val="Heading2"/>
        <w:spacing w:after="120" w:before="280"/>
      </w:pPr>
      <w:r>
        <w:rPr>
          <w:rFonts w:ascii="맑은 고딕" w:cs="맑은 고딕" w:eastAsia="맑은 고딕" w:hAnsi="맑은 고딕"/>
          <w:b/>
          <w:bCs/>
          <w:color w:val="16337A"/>
          <w:sz w:val="23"/>
          <w:szCs w:val="23"/>
        </w:rPr>
        <w:t xml:space="preserve">3.3 전체 업무 플로우 개관</w:t>
      </w:r>
    </w:p>
    <w:p>
      <w:pPr>
        <w:spacing w:after="100" w:before="40" w:line="300"/>
        <w:jc w:val="both"/>
      </w:pPr>
      <w:r>
        <w:rPr>
          <w:rFonts w:ascii="맑은 고딕" w:cs="맑은 고딕" w:eastAsia="맑은 고딕" w:hAnsi="맑은 고딕"/>
          <w:color w:val="1B2430"/>
          <w:sz w:val="20"/>
          <w:szCs w:val="20"/>
        </w:rPr>
        <w:t xml:space="preserve">본 시스템의 클레임 처리 흐름은 4단계로 정의되며, 각 단계는 고유한 검증조건과 산출물을 가진다. 상세 분기는 Ⅴ장의 표로 기술한다.</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600"/>
        <w:gridCol w:w="3020"/>
      </w:tblGrid>
      <w:tr>
        <w:trPr>
          <w:cantSplit/>
          <w:tblHeader/>
        </w:trPr>
        <w:tc>
          <w:tcPr>
            <w:tcW w:type="dxa" w:w="15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단계</w:t>
            </w:r>
          </w:p>
        </w:tc>
        <w:tc>
          <w:tcPr>
            <w:tcW w:type="dxa" w:w="19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주요 업무</w:t>
            </w:r>
          </w:p>
        </w:tc>
        <w:tc>
          <w:tcPr>
            <w:tcW w:type="dxa" w:w="26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검증조건 (자동처리 판정 기준)</w:t>
            </w:r>
          </w:p>
        </w:tc>
        <w:tc>
          <w:tcPr>
            <w:tcW w:type="dxa" w:w="30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산출물 / 다음 단계 진입 요건</w:t>
            </w:r>
          </w:p>
        </w:tc>
      </w:tr>
      <w:tr>
        <w:trPr>
          <w:cantSplit/>
          <w:tblHeader w:val="false"/>
        </w:trPr>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1. 접수·선견적</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차량·계약정보 확인, 운전자·사고정보 확인, 입고지 확인, 선견적 수신</w:t>
            </w:r>
          </w:p>
        </w:tc>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운전자 개인정보 동의 확보 / 계약정보 확인</w:t>
            </w:r>
          </w:p>
        </w:tc>
        <w:tc>
          <w:tcPr>
            <w:tcW w:type="dxa" w:w="30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계약·사고정보 저장, 선견적 라인아이템 확보</w:t>
            </w:r>
          </w:p>
        </w:tc>
      </w:tr>
      <w:tr>
        <w:trPr>
          <w:cantSplit/>
          <w:tblHeader w:val="false"/>
        </w:trPr>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2. 수리 승인</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파손부위 대조, 공업사 수리 오더, 수리 승인</w:t>
            </w:r>
          </w:p>
        </w:tc>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선견적 수신 / 과실률 확정</w:t>
            </w:r>
          </w:p>
        </w:tc>
        <w:tc>
          <w:tcPr>
            <w:tcW w:type="dxa" w:w="30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파손부위 대조 완료 및 수리승인 지시 송신</w:t>
            </w:r>
          </w:p>
        </w:tc>
      </w:tr>
      <w:tr>
        <w:trPr>
          <w:cantSplit/>
          <w:tblHeader w:val="false"/>
        </w:trPr>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3. 손해사정</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청구서 수신, 손해사정 결과 조회, 면부책·과실 조회</w:t>
            </w:r>
          </w:p>
        </w:tc>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청구서 수신 / 파손사진 확인 / AI 견적 적정</w:t>
            </w:r>
          </w:p>
        </w:tc>
        <w:tc>
          <w:tcPr>
            <w:tcW w:type="dxa" w:w="30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손해사정금액 확정, 지급결의 확정 가능 상태</w:t>
            </w:r>
          </w:p>
        </w:tc>
      </w:tr>
      <w:tr>
        <w:trPr>
          <w:cantSplit/>
          <w:tblHeader w:val="false"/>
        </w:trPr>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4. 관리·정산</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손해액 확정, 지급결의·지급결재, 정산 반영</w:t>
            </w:r>
          </w:p>
        </w:tc>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청구금액 ≤ 선견적×1.15 / 자동 지급한도 이하</w:t>
            </w:r>
          </w:p>
        </w:tc>
        <w:tc>
          <w:tcPr>
            <w:tcW w:type="dxa" w:w="30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 완료, 면책 또는 지급 종결</w:t>
            </w:r>
          </w:p>
        </w:tc>
      </w:tr>
    </w:tbl>
    <w:p>
      <w:r>
        <w:br w:type="page"/>
      </w:r>
    </w:p>
    <w:p>
      <w:pPr>
        <w:pStyle w:val="Heading1"/>
        <w:pBdr>
          <w:bottom w:val="single" w:color="1D4ED8" w:sz="12" w:space="4"/>
        </w:pBdr>
        <w:spacing w:after="160" w:before="360"/>
      </w:pPr>
      <w:r>
        <w:rPr>
          <w:rFonts w:ascii="맑은 고딕" w:cs="맑은 고딕" w:eastAsia="맑은 고딕" w:hAnsi="맑은 고딕"/>
          <w:b/>
          <w:bCs/>
          <w:color w:val="1D4ED8"/>
          <w:sz w:val="28"/>
          <w:szCs w:val="28"/>
        </w:rPr>
        <w:t xml:space="preserve">Ⅳ. 종래기술 대비 기술적 차별점</w:t>
      </w:r>
    </w:p>
    <w:p>
      <w:pPr>
        <w:spacing w:after="100" w:before="40" w:line="300"/>
        <w:jc w:val="both"/>
      </w:pPr>
      <w:r>
        <w:rPr>
          <w:rFonts w:ascii="맑은 고딕" w:cs="맑은 고딕" w:eastAsia="맑은 고딕" w:hAnsi="맑은 고딕"/>
          <w:color w:val="1B2430"/>
          <w:sz w:val="20"/>
          <w:szCs w:val="20"/>
        </w:rPr>
        <w:t xml:space="preserve">이하 12개 항목은 본 시스템에서 구체적으로 구현된 정보처리 수단으로서, 각각 독립적으로 또는 조합하여 청구항을 구성할 수 있는 후보이다. 각 항목은 ‘종래기술 → 본 발명의 구성 → 기술적 효과 → 청구항화 포인트’의 4단으로 기술한다.</w:t>
      </w:r>
    </w:p>
    <w:p>
      <w:pPr>
        <w:pStyle w:val="Heading2"/>
        <w:spacing w:after="120" w:before="280"/>
      </w:pPr>
      <w:r>
        <w:rPr>
          <w:rFonts w:ascii="맑은 고딕" w:cs="맑은 고딕" w:eastAsia="맑은 고딕" w:hAnsi="맑은 고딕"/>
          <w:b/>
          <w:bCs/>
          <w:color w:val="16337A"/>
          <w:sz w:val="23"/>
          <w:szCs w:val="23"/>
        </w:rPr>
        <w:t xml:space="preserve">차별점 1. Flow 단계와 조치유형의 2축 독립 분류에 의한 미결 병목 식별 구조</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cantSplit/>
          <w:tblHeader/>
        </w:trPr>
        <w:tc>
          <w:tcPr>
            <w:tcW w:type="dxa" w:w="15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구분</w:t>
            </w:r>
          </w:p>
        </w:tc>
        <w:tc>
          <w:tcPr>
            <w:tcW w:type="dxa" w:w="75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내용</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종래기술</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미결 건을 ‘처리중/완료’ 또는 진행단계 하나의 축으로만 분류한다. 이 경우 ‘손해사정 단계에 20건이 있다’는 사실은 알 수 있으나, 그 20건이 청구서 미수신 때문인지 업체 미회신 때문인지는 집계되지 않는다. 정지사유는 담당자 메모 등 비정형 텍스트로만 남는다.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본 발명의 구성</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각 클레임 레코드에 진행단계를 나타내는 flowStage(4종)와, 단계와 독립적으로 부여되는 정지사유 코드 actionType(11종: 면허미확인·계약조사·선견미징구·일보미입력·검토미회신·청구미수신·손해사정완료·상신중·VOC·종결취소건·종결)을 각각 별도 필드로 보유시킨다. 조회부는 단계 선택(단일)과 조치유형 선택(복수 체크)을 교차 적용하고, 여기에 계획(긴급/관심), 구분(수리승인/미승인/관리건), 정비공장명, 추산금액 구간(하한·상한), 통합검색어의 다중 조건을 순차 필터로 결합한다. 조치유형 목록은 단계에 종속되지 않고 항상 전체가 노출되어, 동일 사유가 여러 단계에 걸쳐 존재하는 상황을 한 화면에서 비교할 수 있다.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기술적 효과</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① ‘단계 × 사유’ 교차 집계가 가능해져 병목 원인을 정량적으로 식별할 수 있다. ② 정지사유가 코드값이므로 자동처리 판정부(차별점 2)가 생성한 사유와 동일 체계로 통합되어, 사람이 만든 미결과 기계가 만든 미결이 하나의 목록에서 관리된다. ③ 조치유형이 단계에 종속되지 않으므로, 단계 이동 시에도 사유가 소실되지 않는다.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청구항화 포인트</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“진행단계 식별자와 정지사유 식별자를 상호 독립적인 필드로 저장하고, 단계 선택과 정지사유 다중선택을 교차 적용하여 미결 목록을 생성하며, 자동처리 판정부가 산출한 정지사유를 동일한 정지사유 식별자 체계로 기록하는 것”을 구성요소로 특정.</w:t>
            </w:r>
          </w:p>
        </w:tc>
      </w:tr>
    </w:tbl>
    <w:p>
      <w:pPr>
        <w:pStyle w:val="Heading2"/>
        <w:spacing w:after="120" w:before="280"/>
      </w:pPr>
      <w:r>
        <w:rPr>
          <w:rFonts w:ascii="맑은 고딕" w:cs="맑은 고딕" w:eastAsia="맑은 고딕" w:hAnsi="맑은 고딕"/>
          <w:b/>
          <w:bCs/>
          <w:color w:val="16337A"/>
          <w:sz w:val="23"/>
          <w:szCs w:val="23"/>
        </w:rPr>
        <w:t xml:space="preserve">차별점 2. 단계별 검증조건 순차 판정에 의한 무인 처리 및 예외 정지 구조</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cantSplit/>
          <w:tblHeader/>
        </w:trPr>
        <w:tc>
          <w:tcPr>
            <w:tcW w:type="dxa" w:w="15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구분</w:t>
            </w:r>
          </w:p>
        </w:tc>
        <w:tc>
          <w:tcPr>
            <w:tcW w:type="dxa" w:w="75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내용</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종래기술</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RPA는 정형 절차를 자동 수행하다가 예외를 만나면 중단하고 오류 로그를 남긴다. 중단된 건은 별도의 오류 큐로 빠지며, 어느 업무 단계에서 어떤 업무적 사유로 멈췄는지가 업무 목록에 반영되지 않는다. 자동화율도 사후 집계로만 확인된다.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본 발명의 구성</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단계별로 검증조건을 정의한다. 1단계는 운전자 개인정보 동의 확보 여부 및 계약정보 확인 여부, 2단계는 선견적 수신 여부 및 과실률 확정 여부, 3단계는 청구서 수신 여부·파손부위 사진 확인 가능 여부·AI 손해사정 견적 과다 여부, 4단계는 ‘청구금액 ≤ 선견적금액 × 1.15’ 및 ‘청구금액 ≤ 자동 지급한도’의 정량 조건이다. 처리부는 대기열에서 1건을 선택하여 현재 단계의 검증조건을 순차 판정하고, 통과 시 다음 단계로 승급시켜 동일 판정을 반복하며, 최종 단계까지 통과하면 무인 완료로 목록에서 제거한다. 불통과 시에는 해당 건에 (정지단계, 정지사유) 쌍을 기록하고 상태를 ‘미결·수동’으로 전환하여 목록에 잔류시킨다. 처리 종료 시 자동 완료 건수, 사람 확인 건수, 자동화율, 자동 처리분의 수작업 환산시간(건당 기준시간 × 자동완료 건수) 대비 실제 처리시간을 산출한다.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기술적 효과</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① 자동처리 대상과 사람 판단 대상이 사전 규칙으로 분리되어, 전건 육안 확인이 불필요해진다. ② 예외건이 오류 큐가 아니라 원래의 미결 목록에 ‘정지단계 · 정지사유’를 달고 남으므로 차별점 1의 2축 분류에 그대로 편입된다. ③ 정량 조건(배수 비교, 한도 비교)이 규칙에 포함되어 금액 과다 청구가 자동 승인되는 것을 차단한다. ④ 자동화율과 절감시간이 처리 과정에서 함께 산출된다.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청구항화 포인트</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“단계별로 정의된 검증조건 집합을 순차 판정하여, 전 단계 통과 시 무인 완료 처리하고, 불통과 시 불통과 단계 식별자와 불통과 사유 식별자를 해당 레코드에 기록하여 미결 목록에 잔류시키는 단계”와, “청구금액이 선견적금액의 소정 배수 또는 자동처리 한도금액을 초과하는지를 판정하는 단계”를 결합한 방법 청구항.</w:t>
            </w:r>
          </w:p>
        </w:tc>
      </w:tr>
    </w:tbl>
    <w:p>
      <w:pPr>
        <w:pStyle w:val="Heading2"/>
        <w:spacing w:after="120" w:before="280"/>
      </w:pPr>
      <w:r>
        <w:rPr>
          <w:rFonts w:ascii="맑은 고딕" w:cs="맑은 고딕" w:eastAsia="맑은 고딕" w:hAnsi="맑은 고딕"/>
          <w:b/>
          <w:bCs/>
          <w:color w:val="16337A"/>
          <w:sz w:val="23"/>
          <w:szCs w:val="23"/>
        </w:rPr>
        <w:t xml:space="preserve">차별점 3. OCR 원본값 보존 및 필드 단위 차분 이력 생성 구조</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cantSplit/>
          <w:tblHeader/>
        </w:trPr>
        <w:tc>
          <w:tcPr>
            <w:tcW w:type="dxa" w:w="15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구분</w:t>
            </w:r>
          </w:p>
        </w:tc>
        <w:tc>
          <w:tcPr>
            <w:tcW w:type="dxa" w:w="75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내용</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종래기술</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OCR 결과를 편집 가능한 폼에 표시하고 담당자가 수정하면, 수정값이 원본값을 덮어쓴다. 원본은 이미지 파일로만 남고 구조화된 값으로는 소실되므로, ‘어떤 필드가 얼마나 자주 틀리는가’를 데이터로 계산할 수 없다. 인식품질 개선은 별도 샘플링·수작업 검증에 의존한다.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본 발명의 구성</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인식 시점에 각 행(row)에 대하여 부품명·부품번호·부품항목·수량·청구금액·손해사정금액의 인식값을 ocrOriginal 서브객체로 복제·보존한 뒤, 편집 대상 필드와 분리하여 저장한다. 담당자는 행 추가·행 삭제·불인(부인정) 체크·값 수정을 자유롭게 수행하되, 키 입력마다 이력을 남기지 않는다. ‘확정’ 또는 ‘재확정’ 시점에 한하여 확정값과 ocrOriginal을 필드 단위로 비교하여, 변경된 필드에 대해서만 {행번호, 변경유형, 필드, 필드라벨, 변경전, 변경후, 변경자, 변경일시} 레코드를 생성한다. 변경유형은 행수정·행추가(OCR 누락 행 직접 추가)·불인변경으로 구분되며, ocrOriginal이 없는 행(담당자가 직접 추가한 행)은 별도 변경유형으로 기록된다. 이력은 지급결의 레코드의 editHistory 배열에 누적되고, 재확정 시 기존 이력에 연결(concat)되어 차수별 수정 궤적이 보존된다.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기술적 효과</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① 원본이 소실되지 않으므로 OCR 무수정 확정률, 필드별 수정률(부품명·부품번호·수량·금액), 불인 변경률, 추가·삭제 행 수를 지급결의 데이터만으로 산출할 수 있다. ② 청구서 양식·업체별 수정률 비교가 가능해져 인식 모델·전처리 개선 대상을 특정할 수 있다. ③ 키 입력 단위가 아닌 확정 시점 차분이므로 이력 레코드 수가 실제 변경 필드 수로 제한되어 저장 부하가 최소화된다. ④ 이력이 지급결의에 종속되므로 금액 분쟁 시 확정값의 근거 추적이 가능하다.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청구항화 포인트</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“인식 결과를 원본 보존영역과 편집영역으로 이중 저장하고, 확정 조작이 입력된 시점에 두 영역을 필드 단위로 비교하여 상이한 필드에 대해서만 변경 이력 레코드를 생성하며, 생성된 이력을 해당 지급결의 레코드에 누적 연결하는 것”. 종속항으로 ‘행 추가·불인 변경을 별도 변경유형으로 분류’, ‘누적된 이력으로부터 필드별 수정률을 산출’.</w:t>
            </w:r>
          </w:p>
        </w:tc>
      </w:tr>
    </w:tbl>
    <w:p>
      <w:pPr>
        <w:pStyle w:val="Heading2"/>
        <w:spacing w:after="120" w:before="280"/>
      </w:pPr>
      <w:r>
        <w:rPr>
          <w:rFonts w:ascii="맑은 고딕" w:cs="맑은 고딕" w:eastAsia="맑은 고딕" w:hAnsi="맑은 고딕"/>
          <w:b/>
          <w:bCs/>
          <w:color w:val="16337A"/>
          <w:sz w:val="23"/>
          <w:szCs w:val="23"/>
        </w:rPr>
        <w:t xml:space="preserve">차별점 4. 확정과 저장을 분리한 2단 스테이징 구조</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cantSplit/>
          <w:tblHeader/>
        </w:trPr>
        <w:tc>
          <w:tcPr>
            <w:tcW w:type="dxa" w:w="15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구분</w:t>
            </w:r>
          </w:p>
        </w:tc>
        <w:tc>
          <w:tcPr>
            <w:tcW w:type="dxa" w:w="75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내용</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종래기술</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문서 인식 결과를 확정하면 즉시 전표·결의가 생성된다. 따라서 동일 사고건에 정비 청구서와 부품 청구서가 순차 도착하는 경우, 각 문서를 별도 전표로 먼저 만든 뒤 사후에 묶거나, 마지막 문서가 올 때까지 확정을 보류해야 한다.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본 발명의 구성</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OCR 확정 조작은 지급결의를 생성하지 않고, 인식·수정 결과와 차분 이력을 사고번호를 키로 하는 스테이징 영역에 ‘미저장 부품 내역’으로 기록하며, 동시에 화면의 견적 표시 모드를 청구서 보기로 전환하고 청구내역 테이블에 추가부품으로 병합 표시한다. 별도의 ‘저장’ 조작이 입력된 때 비로소 (i) 정비 견적이 존재하고 아직 결의가 없으면 정비 지급결의를, (ii) 스테이징 내역이 있으면 부품 지급결의를 생성하며, 둘 다 해당하면 정비→부품 순으로 연속 채번한다. 저장 시 동일 파일명의 기존 결의가 있으면 중복 등록 여부를 확인받는다. 스테이징 영역은 화면 전환·재접속 시에도 유지되며, 별도의 취소 조작으로 철회할 수 있다.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기술적 효과</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① 담당자가 정비 견적과 부품 청구 내역을 하나의 청구내역 테이블에서 대조한 뒤 결의를 확정할 수 있어, 중복·누락 판단이 문서 단위가 아닌 사고건 단위로 이루어진다. ② 확정 단계에서는 채번이 일어나지 않으므로 검토 중 취소 시 결번이 발생하지 않는다. ③ 복수 유형의 결의가 하나의 저장 조작으로 연속 채번되어 순번의 일관성이 보장된다.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청구항화 포인트</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“문서 인식 결과의 확정 조작에 응답하여 결의를 생성하지 않고 사고 식별자를 키로 하는 임시 영역에 기록하고 청구내역 표시영역에 병합 표시하며, 별도의 저장 조작에 응답하여 임시 영역의 내역과 기존 견적 내역을 각각의 결의로 연속 채번·생성하는 것”.</w:t>
            </w:r>
          </w:p>
        </w:tc>
      </w:tr>
    </w:tbl>
    <w:p>
      <w:pPr>
        <w:pStyle w:val="Heading2"/>
        <w:spacing w:after="120" w:before="280"/>
      </w:pPr>
      <w:r>
        <w:rPr>
          <w:rFonts w:ascii="맑은 고딕" w:cs="맑은 고딕" w:eastAsia="맑은 고딕" w:hAnsi="맑은 고딕"/>
          <w:b/>
          <w:bCs/>
          <w:color w:val="16337A"/>
          <w:sz w:val="23"/>
          <w:szCs w:val="23"/>
        </w:rPr>
        <w:t xml:space="preserve">차별점 5. 지급결의–지급결재 이원 채번 및 N:1 합산 결재 구조</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cantSplit/>
          <w:tblHeader/>
        </w:trPr>
        <w:tc>
          <w:tcPr>
            <w:tcW w:type="dxa" w:w="15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구분</w:t>
            </w:r>
          </w:p>
        </w:tc>
        <w:tc>
          <w:tcPr>
            <w:tcW w:type="dxa" w:w="75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내용</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종래기술</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전표(결의)와 결재가 1:1로 대응하거나, 결재 문서에 전표를 첨부하는 방식이다. 복수 전표를 하나의 결재로 올리면 결재 문서에서 개별 전표의 상태를 추적할 수 없고, 반려 시 어느 전표가 재작업 대상인지 시스템이 판단하지 못한다.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본 발명의 구성</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동일 사고번호 내에서 (i) 결의순번은 청구유형과 무관하게 결의 저장 순서대로 1씩 증가시키고 삭제분의 번호는 재사용하지 않으며, (ii) 결재순번은 실제 상신이 일어난 때에만 1씩 증가시키는, 상호 독립된 두 개의 채번 체계를 둔다. 상신 시 선택된 복수 결의의 최종 지급예정금액을 합산하여 결재 1건을 생성하고, 결재 레코드에 resolutionIds(결의 ID 배열)와 includedResolutionSeqs(포함 결의순번 배열)를 보유시킨다. 각 결의에는 currentApprovalId(현재 연결 결재)와 approvalHistoryIds(과거 연결 결재 이력)를 부여한다. 결재의 상태 변경은 연결된 모든 결의로 역전파되며, 상신중 전이 시 currentApprovalId를 설정하고, 그 외 상태로 전이될 때에는 현재 결재 ID를 이력 배열로 이관하되 결재완료가 아닌 경우에만 현재 연결을 해제한다.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기술적 효과</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① 청구서 단위의 검토 정합성(결의)과 결재 단위의 권한·한도 통제(결재)를 분리하면서도 상호 추적이 가능하다. ② 반려·상신취소 시 연결된 결의만 정확히 재작업 가능 상태로 되돌아가고, 결재완료된 결의는 잠금이 유지된다. ③ 재상신 시 신규 결재순번이 생성되되 과거 결재 이력이 결의에 누적되어, 동일 결의의 결재 시도 이력이 보존된다. ④ 결재 목록에는 개별 결의순번이 아닌 결재순번만 표시되어 결재자 관점의 목록 밀도가 유지된다.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청구항화 포인트</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“동일 사고 식별자에 대하여 결의 채번과 결재 채번을 독립적으로 수행하고, 선택된 복수 결의의 확정금액을 합산하여 단일 결재 레코드를 생성하며, 해당 결재의 상태 변경을 연결된 모든 결의 레코드의 상태로 전파하되 결재완료 상태에서는 현재 연결을 유지하고 그 외 상태에서는 연결을 해제하고 이력으로 이관하는 것”.</w:t>
            </w:r>
          </w:p>
        </w:tc>
      </w:tr>
    </w:tbl>
    <w:p>
      <w:pPr>
        <w:pStyle w:val="Heading2"/>
        <w:spacing w:after="120" w:before="280"/>
      </w:pPr>
      <w:r>
        <w:rPr>
          <w:rFonts w:ascii="맑은 고딕" w:cs="맑은 고딕" w:eastAsia="맑은 고딕" w:hAnsi="맑은 고딕"/>
          <w:b/>
          <w:bCs/>
          <w:color w:val="16337A"/>
          <w:sz w:val="23"/>
          <w:szCs w:val="23"/>
        </w:rPr>
        <w:t xml:space="preserve">차별점 6. 과실률 확정상태 연동 금액 재계산 및 결의 상태 자동 강등 구조</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cantSplit/>
          <w:tblHeader/>
        </w:trPr>
        <w:tc>
          <w:tcPr>
            <w:tcW w:type="dxa" w:w="15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구분</w:t>
            </w:r>
          </w:p>
        </w:tc>
        <w:tc>
          <w:tcPr>
            <w:tcW w:type="dxa" w:w="75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내용</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종래기술</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과실률은 금액 산정의 입력값으로만 취급되어, 결재 상신 이후 과실률이 변경되어도 이미 작성된 전표 금액은 그대로 유지된다. 담당자가 변경 사실을 인지하여 수작업으로 취소·재작성하지 않으면 잘못된 금액이 결재된다.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본 발명의 구성</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과실률을 값(퍼센트)과 확정 여부(confirmed)의 두 속성으로 파싱하여 상태로 관리한다. (i) 미확정 상태에서는 업로드·인식·결과 수정은 허용하되 결의 확정·재확정, 결의 선택 체크박스, 선택삭제, 결재 상신 영역을 비활성화하고 “과실율 확정 후 결의입력하세요”를 고정 문구로 표시한다. (ii) 금액 산정 시 과실상계는 손해사정금액에만 적용하고 청구금액에는 적용하지 않으며, 최종 지급예정금액 = 손해사정금액 합계 − (손해사정금액 합계 × 과실률)로 산출한다. 각 결의는 확정 당시의 과실률을 faultRateAtConfirmed로 보존한다. (iii) 과실률이 사후에 변경되면, 결재완료·상신중 결의는 자동 변경 대상에서 제외하고, 결재 전·반려·상신취소·재확인 필요 상태의 결의만 ‘재확인 필요’로 강등한 뒤 변경된 과실률을 faultRateAtReview에 기록하고 금액을 재계산한다. 강등된 결의는 담당자의 재확정 조작 전까지 결재 선택이 불가하다. (iv) 상신 시점에 선택 결의의 faultRateAtConfirmed와 현재 과실률을 다시 대조하여 불일치하면 상신을 차단한다.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기술적 효과</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① 금액 전제의 변경이 결의 상태로 자동 반영되어, 구(舊) 전제에 기초한 결재 상신이 원천 차단된다. ② 진행 중인 결재(상신중)와 완료된 결재는 자동 변경 대상에서 제외되어 결재 무결성이 유지되고, 추가지급·환입은 신규 결의로 분리 처리된다. ③ 확정 시점 과실률과 검토 시점 과실률을 함께 보유하여 차이를 화면에 제시할 수 있다. ④ 상신 시 재대조로 경합 조건(동시 변경)에서의 오상신을 방지한다.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청구항화 포인트</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“금액 산정 전제값의 확정 상태에 따라 확정·상신 조작을 선택적으로 비활성화하는 단계”, “전제값 변경 시 결재 진행상태별로 대상 레코드를 선별하여 재확인 상태로 전이시키고 재계산하는 단계”, “상신 시 확정시점 전제값과 현재 전제값을 재대조하여 불일치 시 차단하는 단계”의 결합.</w:t>
            </w:r>
          </w:p>
        </w:tc>
      </w:tr>
    </w:tbl>
    <w:p>
      <w:pPr>
        <w:pStyle w:val="Heading2"/>
        <w:spacing w:after="120" w:before="280"/>
      </w:pPr>
      <w:r>
        <w:rPr>
          <w:rFonts w:ascii="맑은 고딕" w:cs="맑은 고딕" w:eastAsia="맑은 고딕" w:hAnsi="맑은 고딕"/>
          <w:b/>
          <w:bCs/>
          <w:color w:val="16337A"/>
          <w:sz w:val="23"/>
          <w:szCs w:val="23"/>
        </w:rPr>
        <w:t xml:space="preserve">차별점 7. 외부 손해사정 시스템 스냅샷 임포트 및 재원 정산식 기반 금액 오버라이드</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cantSplit/>
          <w:tblHeader/>
        </w:trPr>
        <w:tc>
          <w:tcPr>
            <w:tcW w:type="dxa" w:w="15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구분</w:t>
            </w:r>
          </w:p>
        </w:tc>
        <w:tc>
          <w:tcPr>
            <w:tcW w:type="dxa" w:w="75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내용</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종래기술</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외부 견적 시스템의 결과는 화면 조회 또는 PDF 출력으로 제공되며, 사업자 내부 시스템에는 총액만 수기 입력된다. 라인아이템·사진·정산 근거가 내부 결의와 분리되어, 금액의 산출 근거를 내부에서 재현할 수 없다.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본 발명의 구성</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외부 시스템(AOS)의 결과를 단일 스냅샷 객체(스냅샷 ID, 사고 식별자, 취득시각, 출처, 지급처, 견적 라인아이템, 이미지 목록, 재원 상세, 별도 지급처 재원)로 취득하여 임포트한다. 임포트 시 (i) 견적 라인아이템이 현재 보기 모드(선견적/청구서)에 대응하여 그리드에 전개되고, (ii) 이미지가 수리전·수리완료 폴더에 주입되며, (iii) 재원 정산 합계 카드가 생성된다. 정비 재원의 지급액은 ‘(공임소계 + 부품소계) + 부가세 − 자기부담금액’으로 산출하고, 부품·유리 등 별도 지급처 재원은 ‘부품소계 − 할인금액(부품소계 × 할인율) − 감가상각 − 잔존물’을 과세표준으로 하여 ‘과세표준 + 부가세 − 과실상계액’으로 산출한다. 공임소계는 탈착교환·판금교정·견인구난비·도장정산(도장재료대+도장공임+할증공임+가열건조비)의 합으로 분해 보유한다. 지급결의 생성 시 해당 유형의 재원 정산액이 존재하면 라인아이템 합산값 대신 이를 손해사정금액으로 오버라이드하고, 과실상계액과 최종 지급예정금액을 재산출하며, 금액 출처를 assessedSource='AOS'로 표기한다.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기술적 효과</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① 외부 산출 금액이 근거(공임·부품·부가세·자기부담 분해값)와 함께 내부 결의에 귀속되어, 총액 수기 입력 대비 검증 가능성이 확보된다. ② 동일 사고건에 대해 선견적 1회, 청구서 1회의 두 스냅샷을 모드별로 각각 보유하여 수리 전후 비교가 가능하다. ③ 부품·유리 등 지급처가 다른 재원을 별도 카드로 추가하여, 각각의 지급결의 손해사정금액에 독립 반영할 수 있다. ④ 금액 출처가 필드로 남아 라인아이템 합산 결의와 외부 재원 결의를 구분 감사할 수 있다.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청구항화 포인트</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“외부 견적 시스템의 산출 결과를 라인아이템·이미지·재원 상세를 포함하는 단일 스냅샷으로 취득하여 견적 표시영역·이미지 저장영역·정산 표시영역에 각각 반영하고, 재원 상세로부터 산출한 정산액으로 지급결의의 손해사정금액을 대체하며 금액 출처 식별자를 함께 기록하는 것”.</w:t>
            </w:r>
          </w:p>
        </w:tc>
      </w:tr>
    </w:tbl>
    <w:p>
      <w:pPr>
        <w:pStyle w:val="Heading2"/>
        <w:spacing w:after="120" w:before="280"/>
      </w:pPr>
      <w:r>
        <w:rPr>
          <w:rFonts w:ascii="맑은 고딕" w:cs="맑은 고딕" w:eastAsia="맑은 고딕" w:hAnsi="맑은 고딕"/>
          <w:b/>
          <w:bCs/>
          <w:color w:val="16337A"/>
          <w:sz w:val="23"/>
          <w:szCs w:val="23"/>
        </w:rPr>
        <w:t xml:space="preserve">차별점 8. AI 심사의 2단 판정(배점 합산 + 신뢰도 임계 강제보류) 및 라인아이템 단위 인정금액 산정</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cantSplit/>
          <w:tblHeader/>
        </w:trPr>
        <w:tc>
          <w:tcPr>
            <w:tcW w:type="dxa" w:w="15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구분</w:t>
            </w:r>
          </w:p>
        </w:tc>
        <w:tc>
          <w:tcPr>
            <w:tcW w:type="dxa" w:w="75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내용</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종래기술</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AI 견적심사는 통상 단일 점수 또는 확률값을 출력하고, 임계값 이상이면 적정으로 판정한다. 점수는 높으나 입력 이미지 품질이 낮아 인식 자체의 신뢰도가 떨어지는 경우에도 자동 승인될 수 있다. 또한 판정이 건 단위 총액에 대해서만 이루어져, 어느 항목이 왜 제외되었는지가 제시되지 않는다.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본 발명의 구성</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(1) 심사 대상이 수리승인(수리 전 견적심사)인지 손해사정(수리 후 청구심사)인지에 따라 서로 다른 배점표를 적용한다. 수리승인은 사고내용·파손형태 일치(15) / 사진·견적 부위 일치(25) / 수리방법 적정성(20) / 부품·공임·도장비 적정성(20) / 중복 청구 여부(10) / 기존손상·사고무관 여부(10)의 6항목 100점이고, 손해사정은 승인견적·청구서 일치(25) / 추가수리 근거 적정성(20) / 실제 수리 여부(20) / 미승인 항목 청구 여부(15) / 청구금액 적정성(15) / 면책금·기지급금 반영(5)의 6항목 100점이다. 각 항목은 획득점수와 감점 사유 문장을 함께 보유한다. (2) 합산점수를 85/70/50의 임계로 적정·조건부 적정·보류·부적정으로 1차 판정한 뒤, 신뢰도(confidence)가 기준값 미만이면 합산점수와 무관하게 판정을 ‘보류’로 강제 치환하고 강제보류 사유를 기록한다. (3) 자료 충족 여부를 사전 판정하여 사진 또는 견적이 없으면 점수 산출 자체를 수행하지 않고 ‘자료대기’로 분류하며 부족 자료 종류를 특정한다. (4) 인정금액은 총액이 아닌 라인아이템 단위로 산정하여, 각 항목을 승인·조건부·제외·보류로 분류하고 제외 항목의 합을 불인정금액, 청구금액에서 이를 차감한 값을 인정금액, 인정금액/청구금액을 인정률로 산출하며, 조건부·제외 항목마다 사유 문장을 부기한다. (5) 목록은 판정별 우선순위(보류·부적정 → 분석대기·조건부 → 분석실패 → 자료대기 → 분석중 → 적정)와 경과시간 내림차순으로 정렬한다. (6) 판정 결과로부터 정비업체에 회신할 검토회신문 초안을 생성하고, 담당자가 수정하여 확정하면 승인금액과 함께 이력에 기록한다.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기술적 효과</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① 점수와 신뢰도를 독립 축으로 분리함으로써 ‘고득점·저신뢰’ 건의 자동 승인을 차단한다(예: 88점·신뢰도 62%는 강제 보류). ② 부족자료 건은 점수 미산출로 분류되어 분석 실패와 구분되며, 요청할 자료 종류가 특정되어 통지부와 연결된다. ③ 라인아이템 단위 인정금액 산정으로 좌측 청구견적과 우측 인정금액이 항상 동일 기준으로 대응하여 금액 불일치가 발생하지 않는다. ④ 판정 우선순위 정렬로 사람 개입이 필요한 건이 목록 상단에 고정된다.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청구항화 포인트</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“심사 종류에 따라 상이한 배점 항목 집합을 선택 적용하는 단계”, “합산점수에 의한 1차 판정 후 인식 신뢰도가 기준값 미만이면 판정을 보류로 치환하고 치환 사유를 기록하는 단계”, “라인아이템별 상태 분류에 기초하여 인정금액·불인정금액·인정률을 산출하는 단계”의 결합. 특히 두 번째 단계가 신규성 논거의 핵심.</w:t>
            </w:r>
          </w:p>
        </w:tc>
      </w:tr>
    </w:tbl>
    <w:p>
      <w:pPr>
        <w:pStyle w:val="Heading2"/>
        <w:spacing w:after="120" w:before="280"/>
      </w:pPr>
      <w:r>
        <w:rPr>
          <w:rFonts w:ascii="맑은 고딕" w:cs="맑은 고딕" w:eastAsia="맑은 고딕" w:hAnsi="맑은 고딕"/>
          <w:b/>
          <w:bCs/>
          <w:color w:val="16337A"/>
          <w:sz w:val="23"/>
          <w:szCs w:val="23"/>
        </w:rPr>
        <w:t xml:space="preserve">차별점 9. 다단 배제판정·tier 우선순위·결정론적 정렬에 의한 순환배당 엔진 및 무저장 시뮬레이션</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cantSplit/>
          <w:tblHeader/>
        </w:trPr>
        <w:tc>
          <w:tcPr>
            <w:tcW w:type="dxa" w:w="15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구분</w:t>
            </w:r>
          </w:p>
        </w:tc>
        <w:tc>
          <w:tcPr>
            <w:tcW w:type="dxa" w:w="75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내용</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종래기술</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배당은 라운드로빈 또는 담당자 수동 지정으로 처리된다. 반차·부재는 별도 근태시스템에 있어 배당 로직에 반영되지 않고, 배당 결과의 근거(왜 이 사람인가, 왜 저 사람은 빠졌는가)가 제시되지 않는다. 설정 변경의 영향은 실제 배당이 일어난 뒤에야 확인된다.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본 발명의 구성</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(1) 직원별로 배당방식(배당제외/지역순환/업체순환/지역+업체순환), 지역그룹, 업체그룹, 일 배당한도, 현재 배당건수, 배당상태, 부재 시작·종료 일시, 직무대행자, 적용 여부를 보유한다. 그룹값에는 ‘전체’(와일드카드, 항상 매칭)와 ‘제외’(항상 미매칭)의 특수값을 정의한다. (2) 배제사유를 정의된 순서대로 단락 평가한다: 적용안함 → 배당제외 설정 → 배당중지 → 부재중(기준시점이 부재 시작·종료 구간 내인지 판정) → 일 배당한도 초과 → 그룹 불일치. 최초로 성립한 사유 하나만 반환하므로 제외 근거가 일의적으로 결정된다. (3) 후보에 대해 그룹 매칭 우선순위 tier를 산출한다: 업체그룹 매칭 = 0, 지역그룹 매칭 = 1, 지역+업체순환이면서 양쪽 모두 불일치인 경우 = 2(공통/관리자 확인). (4) tier 오름차순 → 현재 배당건수 오름차순 → 사번 문자열 비교의 3단 안정정렬로 후보 순번을 산출하고, 1순위를 최종 배당예정자로 확정한다. 일 배당한도 999는 무제한으로 해석한다. (5) 배당 엔진은 부작용 없는 순수 함수로 구현되어, 미리보기 전용 시뮬레이션에서 지역·업체·기준시점·적용일자를 가정값으로 입력받아 후보 순번, 최종 배당예정자, 제외 직원 및 제외 사유 배지를 저장 없이 산출한다. (6) 부재·반차 설정은 신규 배당만 제한하며 기존 배당건은 이관하지 않는다. 직무대행자는 표시·저장 대상이며 배당 로직에 개입하지 않는다. (7) 권한·한도·배당설정의 변경은 변경일시·변경자·변경항목·변경 전·변경 후·변경사유의 이력으로 적재된다.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기술적 효과</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① 동일 입력에 대해 항상 동일한 배당 결과가 산출되어(결정론성) 배당 시비를 근거로 해소할 수 있다. ② 배제 사유가 단일값으로 확정되어 ‘왜 빠졌는지’가 직원별로 명시된다. ③ 순수 함수 설계로 동일 로직이 실배당과 시뮬레이션에 공용되므로, 미리보기와 실제 결과의 괴리가 구조적으로 발생하지 않는다. ④ 기존 배당건을 이관하지 않음으로써 부재 설정이 진행 중 업무를 흔들지 않는다. ⑤ 그룹 와일드카드로 소수 인원이 전 지역을 커버하는 운영이 규칙 변경 없이 가능하다.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청구항화 포인트</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“복수의 배제조건을 정의된 순서로 단락 평가하여 최초 성립 조건을 단일 제외사유로 확정하는 단계”, “그룹 매칭 종류에 따라 우선순위 계층값을 부여하고, 계층값·현재 배당건수·직원 식별자의 다단 정렬로 배당 순번을 산출하는 단계”, “동일 판정 함수를 부작용 없이 실행하여 저장하지 않고 후보·제외사유를 미리 산출하는 시뮬레이션 단계”의 결합.</w:t>
            </w:r>
          </w:p>
        </w:tc>
      </w:tr>
    </w:tbl>
    <w:p>
      <w:pPr>
        <w:pStyle w:val="Heading2"/>
        <w:spacing w:after="120" w:before="280"/>
      </w:pPr>
      <w:r>
        <w:rPr>
          <w:rFonts w:ascii="맑은 고딕" w:cs="맑은 고딕" w:eastAsia="맑은 고딕" w:hAnsi="맑은 고딕"/>
          <w:b/>
          <w:bCs/>
          <w:color w:val="16337A"/>
          <w:sz w:val="23"/>
          <w:szCs w:val="23"/>
        </w:rPr>
        <w:t xml:space="preserve">차별점 10. 탭별 저장상태에 기초한 종결권한 차등 게이팅</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cantSplit/>
          <w:tblHeader/>
        </w:trPr>
        <w:tc>
          <w:tcPr>
            <w:tcW w:type="dxa" w:w="15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구분</w:t>
            </w:r>
          </w:p>
        </w:tc>
        <w:tc>
          <w:tcPr>
            <w:tcW w:type="dxa" w:w="75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내용</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종래기술</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종결은 ‘필수항목 입력 완료’ 또는 ‘결재 완료’의 단일 조건으로 통제된다. 면책 종결(무지급)과 지급 종결의 선행 검증 범위가 다름에도 동일 조건이 적용되어, 지급 근거가 미비한 상태에서도 종결 처리가 가능하다.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본 발명의 구성</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상세 처리화면을 계약·사고정보, 피해 진행정보, 청구 견적정보의 3개 탭으로 구성하고, 탭 단위 저장 플래그를 사고번호별로 보유한다. 종결 구분별 허용조건을 차등 설정하여, 면책 종결은 ‘계약·사고정보 저장 AND 피해 진행정보 저장’일 때, 지급 종결은 여기에 더하여 ‘현재 활성 탭이 청구 견적정보일 것’을 추가 조건으로 요구한다. 어느 조건도 충족되지 않으면 종결 버튼과 종결 구분 라디오가 모두 비활성화되고, 현재 선택된 종결 구분이 허용되지 않는 값이면 허용되는 값으로 자동 보정한다. 종결 가능 상태일 때에만 선택값을 확정 저장한다.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기술적 효과</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① 지급을 수반하는 종결에는 더 강한 선행 검증을 요구하여, 검증 단계를 건너뛴 지급 종결을 구조적으로 차단한다. ② ‘현재 활성 탭’을 조건에 포함시킴으로써 담당자가 지급 근거 화면을 실제로 열람한 상태에서만 지급 종결을 선택하도록 강제한다. ③ 허용되지 않는 선택값의 자동 보정으로, 조건 변화 시 잘못된 종결 구분이 잔류하지 않는다.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청구항화 포인트</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“종결 구분별로 상이한 선행조건 집합을 정의하고, 화면 영역별 저장 상태 및 현재 활성 영역 식별자를 조건으로 하여 종결 조작의 활성 여부와 선택 가능한 종결 구분을 결정하며, 허용되지 않는 선택값을 허용값으로 자동 보정하는 것”.</w:t>
            </w:r>
          </w:p>
        </w:tc>
      </w:tr>
    </w:tbl>
    <w:p>
      <w:pPr>
        <w:pStyle w:val="Heading2"/>
        <w:spacing w:after="120" w:before="280"/>
      </w:pPr>
      <w:r>
        <w:rPr>
          <w:rFonts w:ascii="맑은 고딕" w:cs="맑은 고딕" w:eastAsia="맑은 고딕" w:hAnsi="맑은 고딕"/>
          <w:b/>
          <w:bCs/>
          <w:color w:val="16337A"/>
          <w:sz w:val="23"/>
          <w:szCs w:val="23"/>
        </w:rPr>
        <w:t xml:space="preserve">차별점 11. 정비공장 청구부위와 담당자 확인부위의 이중 대조 및 승인지시 송신 트리거</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cantSplit/>
          <w:tblHeader/>
        </w:trPr>
        <w:tc>
          <w:tcPr>
            <w:tcW w:type="dxa" w:w="15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구분</w:t>
            </w:r>
          </w:p>
        </w:tc>
        <w:tc>
          <w:tcPr>
            <w:tcW w:type="dxa" w:w="75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내용</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종래기술</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파손부위는 정비업체가 제출한 견적서의 항목명으로만 존재한다. 담당자는 사진을 보고 육안으로 판단하나 그 판단 결과가 구조화 데이터로 남지 않으므로, 청구 부위와 실제 확인 부위의 차이를 기계적으로 대조할 수 없다.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본 발명의 구성</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차량 부위를 24개 항목(앞범퍼·헤드램프L/R·본네트·앞휀다L/R·사이드미러L/R·앞도어L/R·루프·사이드스텝L/R·뒤도어L/R·트렁크·테일램프L/R·뒤범퍼·앞휠L/R·뒤휠L/R·기타)으로 코드화하고, 동일 항목 목록을 좌우 2열로 병치한다. 좌열은 정비공장이 청구한 부위로 읽기전용 표시하고, 우열은 담당자가 손상 사진 썸네일을 확대 열람하면서 클릭으로 선택·해제하는 편집영역으로 제공하며, 각 열에 차량 상면 도식을 병치한다. 담당자가 선택을 마친 뒤 ‘수리 승인’ 체크박스를 선택하고 저장하면, SK렌터카 및 정비공장으로 수리 승인 지시가 송신되고 송신 완료 표시가 부여된다.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기술적 효과</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① 담당자의 육안 판단이 부위 코드 집합으로 구조화되어, 청구 부위 집합과의 차집합(과다 청구 의심 부위) 및 역차집합(누락 부위)을 연산할 수 있다. ② 사진 열람과 부위 선택이 동일 화면에서 이루어져 판단 근거와 입력이 분리되지 않는다. ③ 수리 승인 지시의 송신이 부위 대조 완료를 선행조건으로 하여, 미대조 상태의 승인 지시가 발생하지 않는다.</w:t>
            </w:r>
          </w:p>
        </w:tc>
      </w:tr>
      <w:tr>
        <w:trPr>
          <w:cantSplit/>
          <w:tblHeader w:val="false"/>
        </w:trPr>
        <w:tc>
          <w:tcPr>
            <w:tcW w:type="dxa" w:w="1500"/>
            <w:tcBorders>
              <w:top w:val="single" w:color="C9D3E4" w:sz="4"/>
              <w:left w:val="single" w:color="C9D3E4" w:sz="4"/>
              <w:bottom w:val="single" w:color="C9D3E4" w:sz="4"/>
              <w:right w:val="single" w:color="C9D3E4" w:sz="4"/>
            </w:tcBorders>
            <w:shd w:fill="F3F6FC" w:color="auto" w:val="clear"/>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bCs/>
                <w:color w:val="1B2430"/>
                <w:sz w:val="17"/>
                <w:szCs w:val="17"/>
              </w:rPr>
              <w:t xml:space="preserve">청구항화 포인트</w:t>
            </w:r>
          </w:p>
        </w:tc>
        <w:tc>
          <w:tcPr>
            <w:tcW w:type="dxa" w:w="7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“부위 코드 집합을 청구측 집합과 확인측 집합으로 이중 보유하고, 확인측 집합의 입력이 완료되고 승인 지시 조작이 입력된 때에 외부 시스템 및 정비업체 단말로 승인 지시를 송신하는 것”. 종속항으로 ‘두 집합의 차집합을 산출하여 불일치 부위를 표시’(현 구현은 병치 대조, 차집합 자동 산출은 확장 여지).</w:t>
            </w:r>
          </w:p>
        </w:tc>
      </w:tr>
    </w:tbl>
    <w:p>
      <w:pPr>
        <w:pStyle w:val="Heading2"/>
        <w:spacing w:after="120" w:before="280"/>
      </w:pPr>
      <w:r>
        <w:rPr>
          <w:rFonts w:ascii="맑은 고딕" w:cs="맑은 고딕" w:eastAsia="맑은 고딕" w:hAnsi="맑은 고딕"/>
          <w:b/>
          <w:bCs/>
          <w:color w:val="16337A"/>
          <w:sz w:val="23"/>
          <w:szCs w:val="23"/>
        </w:rPr>
        <w:t xml:space="preserve">차별점 12. 부가 차별 구성</w:t>
      </w:r>
    </w:p>
    <w:p>
      <w:pPr>
        <w:spacing w:after="100" w:before="40" w:line="300"/>
        <w:jc w:val="both"/>
      </w:pPr>
      <w:r>
        <w:rPr>
          <w:rFonts w:ascii="맑은 고딕" w:cs="맑은 고딕" w:eastAsia="맑은 고딕" w:hAnsi="맑은 고딕"/>
          <w:color w:val="1B2430"/>
          <w:sz w:val="20"/>
          <w:szCs w:val="20"/>
        </w:rPr>
        <w:t xml:space="preserve">아래 항목은 단독 독립항으로는 진보성 확보가 어려울 수 있으나, 상위 청구항의 종속항 또는 실시예로서 발명의 구체성을 보강하는 데 유효하다.</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0"/>
      </w:tblGrid>
      <w:tr>
        <w:trPr>
          <w:cantSplit/>
          <w:tblHeader/>
        </w:trPr>
        <w:tc>
          <w:tcPr>
            <w:tcW w:type="dxa" w:w="20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구성</w:t>
            </w:r>
          </w:p>
        </w:tc>
        <w:tc>
          <w:tcPr>
            <w:tcW w:type="dxa" w:w="35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내용</w:t>
            </w:r>
          </w:p>
        </w:tc>
        <w:tc>
          <w:tcPr>
            <w:tcW w:type="dxa" w:w="35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차별 포인트</w:t>
            </w:r>
          </w:p>
        </w:tc>
      </w:tr>
      <w:tr>
        <w:trPr>
          <w:cantSplit/>
          <w:tblHeader w:val="false"/>
        </w:trPr>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결의 상태 × 조작 권한 매트릭스</w:t>
            </w:r>
          </w:p>
        </w:tc>
        <w:tc>
          <w:tcPr>
            <w:tcW w:type="dxa" w:w="3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 전·상신중·반려·상신취소·결재완료·재확인 필요의 6개 상태에 대하여 선택·수정·삭제·결재상신의 4개 조작 허용 여부를 매트릭스로 정의하고, 전체선택 시 선택 가능한 결의만 자동 체크</w:t>
            </w:r>
          </w:p>
        </w:tc>
        <w:tc>
          <w:tcPr>
            <w:tcW w:type="dxa" w:w="3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권한을 개별 버튼 분기가 아닌 선언적 매트릭스로 보유하여 상태 추가 시 규칙 일관성 유지. ‘전체선택’이 잠금 건을 제외하는 동작</w:t>
            </w:r>
          </w:p>
        </w:tc>
      </w:tr>
      <w:tr>
        <w:trPr>
          <w:cantSplit/>
          <w:tblHeader w:val="false"/>
        </w:trPr>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지급성 결재 비밀번호 인증</w:t>
            </w:r>
          </w:p>
        </w:tc>
        <w:tc>
          <w:tcPr>
            <w:tcW w:type="dxa" w:w="3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지급(종결)·추가지급의 승인에만 비밀번호 인증을 적용하고, 추산·면책종결·VOC 및 모든 반려에는 미적용. 인증 성공 사실은 이력에 기록하지 않음</w:t>
            </w:r>
          </w:p>
        </w:tc>
        <w:tc>
          <w:tcPr>
            <w:tcW w:type="dxa" w:w="3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 종류별 인증 강도 차등화. 인증 문구를 이력에 남기지 않아 인증 기록의 오용 방지</w:t>
            </w:r>
          </w:p>
        </w:tc>
      </w:tr>
      <w:tr>
        <w:trPr>
          <w:cantSplit/>
          <w:tblHeader w:val="false"/>
        </w:trPr>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품의서 렌더링</w:t>
            </w:r>
          </w:p>
        </w:tc>
        <w:tc>
          <w:tcPr>
            <w:tcW w:type="dxa" w:w="3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 데이터로부터 문서번호(사고번호-결의순번), 결재금액 강조밴드, 사고·계약·피해·지급·종결·기존지급의 7개 정보군, 결재란을 갖는 품의서 양식을 동적 생성</w:t>
            </w:r>
          </w:p>
        </w:tc>
        <w:tc>
          <w:tcPr>
            <w:tcW w:type="dxa" w:w="3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결재자가 원장 화면으로 이동하지 않고 단일 문서 뷰에서 판단. 결재금액과 근거 금액(추산액/실지급액/면책금)의 정합 검증</w:t>
            </w:r>
          </w:p>
        </w:tc>
      </w:tr>
      <w:tr>
        <w:trPr>
          <w:cantSplit/>
          <w:tblHeader w:val="false"/>
        </w:trPr>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평가항목 메타데이터 기반 동적 폼</w:t>
            </w:r>
          </w:p>
        </w:tc>
        <w:tc>
          <w:tcPr>
            <w:tcW w:type="dxa" w:w="3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협력업체 평가항목을 {항목코드, 항목명, 답변유형(YESNO/CUSTOM/SCALE), 입력UI(RADIO/SELECT), 도움말, 최대점수, 정렬순서, 사용여부, 필수여부, 배치열, 이력보유}의 마스터로 정의하고, 답변옵션마스터와 결합하여 입력 컨트롤·도움말·배점을 화면에 동적 생성</w:t>
            </w:r>
          </w:p>
        </w:tc>
        <w:tc>
          <w:tcPr>
            <w:tcW w:type="dxa" w:w="3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평가 기준 변경이 코드 수정 없이 마스터 데이터 변경으로 반영. 항목 논리삭제로 과거 평가 결과의 해석 가능성 유지</w:t>
            </w:r>
          </w:p>
        </w:tc>
      </w:tr>
      <w:tr>
        <w:trPr>
          <w:cantSplit/>
          <w:tblHeader w:val="false"/>
        </w:trPr>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평가 표본 쿼터 제어</w:t>
            </w:r>
          </w:p>
        </w:tc>
        <w:tc>
          <w:tcPr>
            <w:tcW w:type="dxa" w:w="3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업체별로 평가 대상 비율(%)·총 건수·완료 건수를 보유하여 평가 대상 건수를 제어</w:t>
            </w:r>
          </w:p>
        </w:tc>
        <w:tc>
          <w:tcPr>
            <w:tcW w:type="dxa" w:w="3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전수 평가가 아닌 표본 평가를 시스템이 관리. 업체별 표본 수 편향 방지</w:t>
            </w:r>
          </w:p>
        </w:tc>
      </w:tr>
      <w:tr>
        <w:trPr>
          <w:cantSplit/>
          <w:tblHeader w:val="false"/>
        </w:trPr>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만료·인증형 보안링크 발송</w:t>
            </w:r>
          </w:p>
        </w:tc>
        <w:tc>
          <w:tcPr>
            <w:tcW w:type="dxa" w:w="3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이미지·서류를 직접 첨부하지 않고, 열람 만료일시가 지정되고 1회 인증 후 열람 가능한 보안링크로 발송하는 모드를 직접첨부 모드와 병행 제공</w:t>
            </w:r>
          </w:p>
        </w:tc>
        <w:tc>
          <w:tcPr>
            <w:tcW w:type="dxa" w:w="3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개인정보가 포함된 사고 사진의 무기한 잔존 방지. 발송 모드 선택이 이력에 기록</w:t>
            </w:r>
          </w:p>
        </w:tc>
      </w:tr>
      <w:tr>
        <w:trPr>
          <w:cantSplit/>
          <w:tblHeader w:val="false"/>
        </w:trPr>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템플릿 변수 치환 발송</w:t>
            </w:r>
          </w:p>
        </w:tc>
        <w:tc>
          <w:tcPr>
            <w:tcW w:type="dxa" w:w="3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알림톡 대표 템플릿(본문 수정 불가)과 LMS 표준문구·개인문구를 구분하고, #{고객명}·#{사고접수번호}·#{담당자명} 등 변수를 발송 시점에 클레임 컨텍스트로 치환. 개인문구는 슬롯 번호로 단축키 호출</w:t>
            </w:r>
          </w:p>
        </w:tc>
        <w:tc>
          <w:tcPr>
            <w:tcW w:type="dxa" w:w="3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사전 심사된 템플릿의 무결성 유지와 개인화의 양립. 발신번호를 담당자별 화이트리스트로 제한</w:t>
            </w:r>
          </w:p>
        </w:tc>
      </w:tr>
      <w:tr>
        <w:trPr>
          <w:cantSplit/>
          <w:tblHeader w:val="false"/>
        </w:trPr>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동일 차량 다건 접수 연계</w:t>
            </w:r>
          </w:p>
        </w:tc>
        <w:tc>
          <w:tcPr>
            <w:tcW w:type="dxa" w:w="3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차량번호·휴대폰 등 8종의 조회구분으로 검색 시, 동일 차량의 복수 접수건(과거 종결건 포함)을 목록으로 제시하고 행 클릭으로 전환</w:t>
            </w:r>
          </w:p>
        </w:tc>
        <w:tc>
          <w:tcPr>
            <w:tcW w:type="dxa" w:w="3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단건 조회 전제의 종래 접수화면과 달리, 동일 차량 중복·연쇄 사고의 상호 참조 가능</w:t>
            </w:r>
          </w:p>
        </w:tc>
      </w:tr>
    </w:tbl>
    <w:p>
      <w:r>
        <w:br w:type="page"/>
      </w:r>
    </w:p>
    <w:p>
      <w:pPr>
        <w:pStyle w:val="Heading1"/>
        <w:pBdr>
          <w:bottom w:val="single" w:color="1D4ED8" w:sz="12" w:space="4"/>
        </w:pBdr>
        <w:spacing w:after="160" w:before="360"/>
      </w:pPr>
      <w:r>
        <w:rPr>
          <w:rFonts w:ascii="맑은 고딕" w:cs="맑은 고딕" w:eastAsia="맑은 고딕" w:hAnsi="맑은 고딕"/>
          <w:b/>
          <w:bCs/>
          <w:color w:val="1D4ED8"/>
          <w:sz w:val="28"/>
          <w:szCs w:val="28"/>
        </w:rPr>
        <w:t xml:space="preserve">Ⅴ. 프로세스 및 업무 플로우 (테이블 레이아웃)</w:t>
      </w:r>
    </w:p>
    <w:p>
      <w:pPr>
        <w:spacing w:after="100" w:before="40" w:line="300"/>
        <w:jc w:val="both"/>
      </w:pPr>
      <w:r>
        <w:rPr>
          <w:rFonts w:ascii="맑은 고딕" w:cs="맑은 고딕" w:eastAsia="맑은 고딕" w:hAnsi="맑은 고딕"/>
          <w:color w:val="1B2430"/>
          <w:sz w:val="20"/>
          <w:szCs w:val="20"/>
        </w:rPr>
        <w:t xml:space="preserve">본 장의 표는 명세서의 ‘발명을 실시하기 위한 구체적인 내용’ 및 도면(순서도·상태천이도)의 기초 자료로 사용할 수 있도록, 각 처리 단계의 입력·판정·출력·예외를 명시적으로 기술한 것이다.</w:t>
      </w:r>
    </w:p>
    <w:p>
      <w:pPr>
        <w:pStyle w:val="Heading2"/>
        <w:spacing w:after="120" w:before="280"/>
      </w:pPr>
      <w:r>
        <w:rPr>
          <w:rFonts w:ascii="맑은 고딕" w:cs="맑은 고딕" w:eastAsia="맑은 고딕" w:hAnsi="맑은 고딕"/>
          <w:b/>
          <w:bCs/>
          <w:color w:val="16337A"/>
          <w:sz w:val="23"/>
          <w:szCs w:val="23"/>
        </w:rPr>
        <w:t xml:space="preserve">5.1 전체 클레임 처리 플로우</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80"/>
        <w:gridCol w:w="1900"/>
        <w:gridCol w:w="2000"/>
        <w:gridCol w:w="1970"/>
        <w:gridCol w:w="1970"/>
      </w:tblGrid>
      <w:tr>
        <w:trPr>
          <w:cantSplit/>
          <w:tblHeader/>
        </w:trPr>
        <w:tc>
          <w:tcPr>
            <w:tcW w:type="dxa" w:w="118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단계</w:t>
            </w:r>
          </w:p>
        </w:tc>
        <w:tc>
          <w:tcPr>
            <w:tcW w:type="dxa" w:w="19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입력 데이터</w:t>
            </w:r>
          </w:p>
        </w:tc>
        <w:tc>
          <w:tcPr>
            <w:tcW w:type="dxa" w:w="20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시스템 처리 · 판정</w:t>
            </w:r>
          </w:p>
        </w:tc>
        <w:tc>
          <w:tcPr>
            <w:tcW w:type="dxa" w:w="197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정상 출력</w:t>
            </w:r>
          </w:p>
        </w:tc>
        <w:tc>
          <w:tcPr>
            <w:tcW w:type="dxa" w:w="197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예외 처리</w:t>
            </w:r>
          </w:p>
        </w:tc>
      </w:tr>
      <w:tr>
        <w:trPr>
          <w:cantSplit/>
          <w:tblHeader w:val="false"/>
        </w:trPr>
        <w:tc>
          <w:tcPr>
            <w:tcW w:type="dxa" w:w="118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S1 접수</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사고 통보(콜센터/앱), 차량번호</w:t>
            </w:r>
          </w:p>
        </w:tc>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동일 차량 기존 접수건 조회, 사고번호 채번, 순환배당 엔진 호출</w:t>
            </w:r>
          </w:p>
        </w:tc>
        <w:tc>
          <w:tcPr>
            <w:tcW w:type="dxa" w:w="19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사고번호 부여, 담당자 배당, 단계=접수·선견적</w:t>
            </w:r>
          </w:p>
        </w:tc>
        <w:tc>
          <w:tcPr>
            <w:tcW w:type="dxa" w:w="19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배당 후보 없음 → 관리자 확인대상(tier 2)</w:t>
            </w:r>
          </w:p>
        </w:tc>
      </w:tr>
      <w:tr>
        <w:trPr>
          <w:cantSplit/>
          <w:tblHeader w:val="false"/>
        </w:trPr>
        <w:tc>
          <w:tcPr>
            <w:tcW w:type="dxa" w:w="118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S2 계약·사고정보 확인</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계약 IF, 고객 진술, 운전자 정보</w:t>
            </w:r>
          </w:p>
        </w:tc>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계약번호·차량번호 일치 검증, 운전자·통보자 관계 확인, 개인정보 동의 확인</w:t>
            </w:r>
          </w:p>
        </w:tc>
        <w:tc>
          <w:tcPr>
            <w:tcW w:type="dxa" w:w="19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계약 사고정보 탭 저장(플래그 ON)</w:t>
            </w:r>
          </w:p>
        </w:tc>
        <w:tc>
          <w:tcPr>
            <w:tcW w:type="dxa" w:w="19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동의 미확보 → 조치유형=면허미확인, 고객 정보요청 발송</w:t>
            </w:r>
          </w:p>
        </w:tc>
      </w:tr>
      <w:tr>
        <w:trPr>
          <w:cantSplit/>
          <w:tblHeader w:val="false"/>
        </w:trPr>
        <w:tc>
          <w:tcPr>
            <w:tcW w:type="dxa" w:w="118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S3 입고·선견적</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입고지, AOS 선견적 스냅샷</w:t>
            </w:r>
          </w:p>
        </w:tc>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스냅샷 임포트(라인아이템·이미지·재원), 선견적 존재 판정</w:t>
            </w:r>
          </w:p>
        </w:tc>
        <w:tc>
          <w:tcPr>
            <w:tcW w:type="dxa" w:w="19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선견적 그리드 전개, 수리 승인 단계로 승급</w:t>
            </w:r>
          </w:p>
        </w:tc>
        <w:tc>
          <w:tcPr>
            <w:tcW w:type="dxa" w:w="19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선견적 미수신 → 조치유형=선견미징구</w:t>
            </w:r>
          </w:p>
        </w:tc>
      </w:tr>
      <w:tr>
        <w:trPr>
          <w:cantSplit/>
          <w:tblHeader w:val="false"/>
        </w:trPr>
        <w:tc>
          <w:tcPr>
            <w:tcW w:type="dxa" w:w="118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S4 파손부위 대조</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정비공장 청구 부위, 손상 사진</w:t>
            </w:r>
          </w:p>
        </w:tc>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청구 부위(읽기)와 담당자 확인 부위(입력) 병치 대조</w:t>
            </w:r>
          </w:p>
        </w:tc>
        <w:tc>
          <w:tcPr>
            <w:tcW w:type="dxa" w:w="19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수리 승인 체크 → SK렌터카·정비공장에 승인지시 송신</w:t>
            </w:r>
          </w:p>
        </w:tc>
        <w:tc>
          <w:tcPr>
            <w:tcW w:type="dxa" w:w="19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사진 확인 불가 → AI 판정 자료대기, 사진 재요청</w:t>
            </w:r>
          </w:p>
        </w:tc>
      </w:tr>
      <w:tr>
        <w:trPr>
          <w:cantSplit/>
          <w:tblHeader w:val="false"/>
        </w:trPr>
        <w:tc>
          <w:tcPr>
            <w:tcW w:type="dxa" w:w="118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S5 AI 견적심사</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사진·선견적, 배점표(수리승인용)</w:t>
            </w:r>
          </w:p>
        </w:tc>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6항목 배점 합산 → 임계 판정 → 신뢰도 임계 미달 시 강제보류</w:t>
            </w:r>
          </w:p>
        </w:tc>
        <w:tc>
          <w:tcPr>
            <w:tcW w:type="dxa" w:w="19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적정/조건부 적정 → 승인금액·검토회신문 생성</w:t>
            </w:r>
          </w:p>
        </w:tc>
        <w:tc>
          <w:tcPr>
            <w:tcW w:type="dxa" w:w="19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보류·부적정 → 담당자 직접 확인, 회신문 수정 후 발송</w:t>
            </w:r>
          </w:p>
        </w:tc>
      </w:tr>
      <w:tr>
        <w:trPr>
          <w:cantSplit/>
          <w:tblHeader w:val="false"/>
        </w:trPr>
        <w:tc>
          <w:tcPr>
            <w:tcW w:type="dxa" w:w="118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S6 청구서 수신</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정비·부품·유리 등 청구서(PDF/이미지)</w:t>
            </w:r>
          </w:p>
        </w:tc>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AI-OCR 인식 → 행 단위 편집 → 확정(스테이징)</w:t>
            </w:r>
          </w:p>
        </w:tc>
        <w:tc>
          <w:tcPr>
            <w:tcW w:type="dxa" w:w="19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청구내역 테이블에 반영, 차분 이력 생성</w:t>
            </w:r>
          </w:p>
        </w:tc>
        <w:tc>
          <w:tcPr>
            <w:tcW w:type="dxa" w:w="19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인식 항목 0건 → 재등록 또는 행 직접 추가 / OCR 실패 → 분석실패</w:t>
            </w:r>
          </w:p>
        </w:tc>
      </w:tr>
      <w:tr>
        <w:trPr>
          <w:cantSplit/>
          <w:tblHeader w:val="false"/>
        </w:trPr>
        <w:tc>
          <w:tcPr>
            <w:tcW w:type="dxa" w:w="118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S7 손해사정</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청구서, 승인견적, 면책금·기지급금</w:t>
            </w:r>
          </w:p>
        </w:tc>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손해사정 배점표 적용, 라인아이템별 승인·조건부·제외 분류, 인정금액·인정률 산출</w:t>
            </w:r>
          </w:p>
        </w:tc>
        <w:tc>
          <w:tcPr>
            <w:tcW w:type="dxa" w:w="19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손해사정금액 확정</w:t>
            </w:r>
          </w:p>
        </w:tc>
        <w:tc>
          <w:tcPr>
            <w:tcW w:type="dxa" w:w="19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AI 견적 과다 → 자동처리 정지, 조치유형=검토미회신</w:t>
            </w:r>
          </w:p>
        </w:tc>
      </w:tr>
      <w:tr>
        <w:trPr>
          <w:cantSplit/>
          <w:tblHeader w:val="false"/>
        </w:trPr>
        <w:tc>
          <w:tcPr>
            <w:tcW w:type="dxa" w:w="118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S8 과실률 확정</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면부책·과실 조회 결과</w:t>
            </w:r>
          </w:p>
        </w:tc>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과실률 값·확정여부 파싱</w:t>
            </w:r>
          </w:p>
        </w:tc>
        <w:tc>
          <w:tcPr>
            <w:tcW w:type="dxa" w:w="19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확정 → 결의 확정 및 결재 상신 허용</w:t>
            </w:r>
          </w:p>
        </w:tc>
        <w:tc>
          <w:tcPr>
            <w:tcW w:type="dxa" w:w="19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미확정 → “과실율 확정 후 결의입력하세요” 표시, 확정계 조작 전면 비활성</w:t>
            </w:r>
          </w:p>
        </w:tc>
      </w:tr>
      <w:tr>
        <w:trPr>
          <w:cantSplit/>
          <w:tblHeader w:val="false"/>
        </w:trPr>
        <w:tc>
          <w:tcPr>
            <w:tcW w:type="dxa" w:w="118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S9 지급결의</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확정 행 집합, 과실률, 재원 정산액</w:t>
            </w:r>
          </w:p>
        </w:tc>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결의순번 채번, 과실상계 계산(손해사정금액에만 적용), 재원 존재 시 금액 오버라이드</w:t>
            </w:r>
          </w:p>
        </w:tc>
        <w:tc>
          <w:tcPr>
            <w:tcW w:type="dxa" w:w="19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지급결의 생성(상태=결재 전)</w:t>
            </w:r>
          </w:p>
        </w:tc>
        <w:tc>
          <w:tcPr>
            <w:tcW w:type="dxa" w:w="19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동일 파일명 중복 → 계속 등록 여부 확인</w:t>
            </w:r>
          </w:p>
        </w:tc>
      </w:tr>
      <w:tr>
        <w:trPr>
          <w:cantSplit/>
          <w:tblHeader w:val="false"/>
        </w:trPr>
        <w:tc>
          <w:tcPr>
            <w:tcW w:type="dxa" w:w="118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S10 지급결재</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선택 결의 집합, 결재자, 결재의견, 비밀번호</w:t>
            </w:r>
          </w:p>
        </w:tc>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상태·과실률 재검증 → 결재순번 채번 → 합산 → 결의 잠금</w:t>
            </w:r>
          </w:p>
        </w:tc>
        <w:tc>
          <w:tcPr>
            <w:tcW w:type="dxa" w:w="19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 1건 생성(상신중), 결재 LIST 노출</w:t>
            </w:r>
          </w:p>
        </w:tc>
        <w:tc>
          <w:tcPr>
            <w:tcW w:type="dxa" w:w="19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 불가 결의 포함·과실률 불일치·비밀번호 불일치 → 상신 차단</w:t>
            </w:r>
          </w:p>
        </w:tc>
      </w:tr>
      <w:tr>
        <w:trPr>
          <w:cantSplit/>
          <w:tblHeader w:val="false"/>
        </w:trPr>
        <w:tc>
          <w:tcPr>
            <w:tcW w:type="dxa" w:w="118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S11 결재 처리</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결재자 선택, 승인/반려 조작</w:t>
            </w:r>
          </w:p>
        </w:tc>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지급성 결재 시 비밀번호 인증, 반려 시 사유 필수 검증</w:t>
            </w:r>
          </w:p>
        </w:tc>
        <w:tc>
          <w:tcPr>
            <w:tcW w:type="dxa" w:w="19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승인 → 결의 결재완료 / 반려 → 결의 반려(재작업 가능)</w:t>
            </w:r>
          </w:p>
        </w:tc>
        <w:tc>
          <w:tcPr>
            <w:tcW w:type="dxa" w:w="19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반려사유 미입력 → 처리 중단, 상태 불변</w:t>
            </w:r>
          </w:p>
        </w:tc>
      </w:tr>
      <w:tr>
        <w:trPr>
          <w:cantSplit/>
          <w:tblHeader w:val="false"/>
        </w:trPr>
        <w:tc>
          <w:tcPr>
            <w:tcW w:type="dxa" w:w="118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S12 종결</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종결 구분(면책/지급), 탭 저장 플래그</w:t>
            </w:r>
          </w:p>
        </w:tc>
        <w:tc>
          <w:tcPr>
            <w:tcW w:type="dxa" w:w="20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면책=계약+피해 저장 / 지급=계약+피해 저장 AND 현재 탭=청구 견적정보</w:t>
            </w:r>
          </w:p>
        </w:tc>
        <w:tc>
          <w:tcPr>
            <w:tcW w:type="dxa" w:w="19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종결 처리, 처리상태=완료</w:t>
            </w:r>
          </w:p>
        </w:tc>
        <w:tc>
          <w:tcPr>
            <w:tcW w:type="dxa" w:w="197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조건 미충족 → 종결 버튼·구분 라디오 비활성, 선택값 자동 보정</w:t>
            </w:r>
          </w:p>
        </w:tc>
      </w:tr>
    </w:tbl>
    <w:p>
      <w:pPr>
        <w:pStyle w:val="Heading2"/>
        <w:spacing w:after="120" w:before="280"/>
      </w:pPr>
      <w:r>
        <w:rPr>
          <w:rFonts w:ascii="맑은 고딕" w:cs="맑은 고딕" w:eastAsia="맑은 고딕" w:hAnsi="맑은 고딕"/>
          <w:b/>
          <w:bCs/>
          <w:color w:val="16337A"/>
          <w:sz w:val="23"/>
          <w:szCs w:val="23"/>
        </w:rPr>
        <w:t xml:space="preserve">5.2 무인 자동처리 판정 매트릭스</w:t>
      </w:r>
    </w:p>
    <w:p>
      <w:pPr>
        <w:spacing w:after="100" w:before="40" w:line="300"/>
        <w:jc w:val="both"/>
      </w:pPr>
      <w:r>
        <w:rPr>
          <w:rFonts w:ascii="맑은 고딕" w:cs="맑은 고딕" w:eastAsia="맑은 고딕" w:hAnsi="맑은 고딕"/>
          <w:color w:val="1B2430"/>
          <w:sz w:val="20"/>
          <w:szCs w:val="20"/>
        </w:rPr>
        <w:t xml:space="preserve">자동처리 판정부는 아래 조건을 단계 순서대로 평가하며, 최초로 불통과한 조건에서 처리를 정지하고 그 단계와 사유를 레코드에 기록한다.</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400"/>
        <w:gridCol w:w="3220"/>
      </w:tblGrid>
      <w:tr>
        <w:trPr>
          <w:cantSplit/>
          <w:tblHeader/>
        </w:trPr>
        <w:tc>
          <w:tcPr>
            <w:tcW w:type="dxa" w:w="12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단계</w:t>
            </w:r>
          </w:p>
        </w:tc>
        <w:tc>
          <w:tcPr>
            <w:tcW w:type="dxa" w:w="12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판정 순서</w:t>
            </w:r>
          </w:p>
        </w:tc>
        <w:tc>
          <w:tcPr>
            <w:tcW w:type="dxa" w:w="34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검증조건</w:t>
            </w:r>
          </w:p>
        </w:tc>
        <w:tc>
          <w:tcPr>
            <w:tcW w:type="dxa" w:w="32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불통과 시 기록되는 정지사유</w:t>
            </w:r>
          </w:p>
        </w:tc>
      </w:tr>
      <w:tr>
        <w:trPr>
          <w:cantSplit/>
          <w:tblHeader w:val="false"/>
        </w:trPr>
        <w:tc>
          <w:tcPr>
            <w:tcW w:type="dxa" w:w="1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1. 접수·선견적</w:t>
            </w:r>
          </w:p>
        </w:tc>
        <w:tc>
          <w:tcPr>
            <w:tcW w:type="dxa" w:w="1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①</w:t>
            </w:r>
          </w:p>
        </w:tc>
        <w:tc>
          <w:tcPr>
            <w:tcW w:type="dxa" w:w="3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운전자 개인정보 동의 확보 여부</w:t>
            </w:r>
          </w:p>
        </w:tc>
        <w:tc>
          <w:tcPr>
            <w:tcW w:type="dxa" w:w="32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운전자 개인정보 동의 미확보</w:t>
            </w:r>
          </w:p>
        </w:tc>
      </w:tr>
      <w:tr>
        <w:trPr>
          <w:cantSplit/>
          <w:tblHeader w:val="false"/>
        </w:trPr>
        <w:tc>
          <w:tcPr>
            <w:tcW w:type="dxa" w:w="1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
            </w:r>
          </w:p>
        </w:tc>
        <w:tc>
          <w:tcPr>
            <w:tcW w:type="dxa" w:w="1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②</w:t>
            </w:r>
          </w:p>
        </w:tc>
        <w:tc>
          <w:tcPr>
            <w:tcW w:type="dxa" w:w="3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계약정보 확인 완료 여부</w:t>
            </w:r>
          </w:p>
        </w:tc>
        <w:tc>
          <w:tcPr>
            <w:tcW w:type="dxa" w:w="32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계약정보 확인 필요</w:t>
            </w:r>
          </w:p>
        </w:tc>
      </w:tr>
      <w:tr>
        <w:trPr>
          <w:cantSplit/>
          <w:tblHeader w:val="false"/>
        </w:trPr>
        <w:tc>
          <w:tcPr>
            <w:tcW w:type="dxa" w:w="1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2. 수리 승인</w:t>
            </w:r>
          </w:p>
        </w:tc>
        <w:tc>
          <w:tcPr>
            <w:tcW w:type="dxa" w:w="1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①</w:t>
            </w:r>
          </w:p>
        </w:tc>
        <w:tc>
          <w:tcPr>
            <w:tcW w:type="dxa" w:w="3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선견적 수신 여부</w:t>
            </w:r>
          </w:p>
        </w:tc>
        <w:tc>
          <w:tcPr>
            <w:tcW w:type="dxa" w:w="32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선견적 미수신</w:t>
            </w:r>
          </w:p>
        </w:tc>
      </w:tr>
      <w:tr>
        <w:trPr>
          <w:cantSplit/>
          <w:tblHeader w:val="false"/>
        </w:trPr>
        <w:tc>
          <w:tcPr>
            <w:tcW w:type="dxa" w:w="1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
            </w:r>
          </w:p>
        </w:tc>
        <w:tc>
          <w:tcPr>
            <w:tcW w:type="dxa" w:w="1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②</w:t>
            </w:r>
          </w:p>
        </w:tc>
        <w:tc>
          <w:tcPr>
            <w:tcW w:type="dxa" w:w="3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과실률 확정 여부</w:t>
            </w:r>
          </w:p>
        </w:tc>
        <w:tc>
          <w:tcPr>
            <w:tcW w:type="dxa" w:w="32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과실 미확정</w:t>
            </w:r>
          </w:p>
        </w:tc>
      </w:tr>
      <w:tr>
        <w:trPr>
          <w:cantSplit/>
          <w:tblHeader w:val="false"/>
        </w:trPr>
        <w:tc>
          <w:tcPr>
            <w:tcW w:type="dxa" w:w="1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3. 손해사정</w:t>
            </w:r>
          </w:p>
        </w:tc>
        <w:tc>
          <w:tcPr>
            <w:tcW w:type="dxa" w:w="1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①</w:t>
            </w:r>
          </w:p>
        </w:tc>
        <w:tc>
          <w:tcPr>
            <w:tcW w:type="dxa" w:w="3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청구서 수신 여부</w:t>
            </w:r>
          </w:p>
        </w:tc>
        <w:tc>
          <w:tcPr>
            <w:tcW w:type="dxa" w:w="32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청구서 미수신</w:t>
            </w:r>
          </w:p>
        </w:tc>
      </w:tr>
      <w:tr>
        <w:trPr>
          <w:cantSplit/>
          <w:tblHeader w:val="false"/>
        </w:trPr>
        <w:tc>
          <w:tcPr>
            <w:tcW w:type="dxa" w:w="1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
            </w:r>
          </w:p>
        </w:tc>
        <w:tc>
          <w:tcPr>
            <w:tcW w:type="dxa" w:w="1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②</w:t>
            </w:r>
          </w:p>
        </w:tc>
        <w:tc>
          <w:tcPr>
            <w:tcW w:type="dxa" w:w="3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파손부위 사진 확인 가능 여부</w:t>
            </w:r>
          </w:p>
        </w:tc>
        <w:tc>
          <w:tcPr>
            <w:tcW w:type="dxa" w:w="32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파손부위 사진 확인 불가</w:t>
            </w:r>
          </w:p>
        </w:tc>
      </w:tr>
      <w:tr>
        <w:trPr>
          <w:cantSplit/>
          <w:tblHeader w:val="false"/>
        </w:trPr>
        <w:tc>
          <w:tcPr>
            <w:tcW w:type="dxa" w:w="1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
            </w:r>
          </w:p>
        </w:tc>
        <w:tc>
          <w:tcPr>
            <w:tcW w:type="dxa" w:w="1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③</w:t>
            </w:r>
          </w:p>
        </w:tc>
        <w:tc>
          <w:tcPr>
            <w:tcW w:type="dxa" w:w="3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AI 손해사정 견적 적정 여부</w:t>
            </w:r>
          </w:p>
        </w:tc>
        <w:tc>
          <w:tcPr>
            <w:tcW w:type="dxa" w:w="32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AI 손해사정 견적 과다</w:t>
            </w:r>
          </w:p>
        </w:tc>
      </w:tr>
      <w:tr>
        <w:trPr>
          <w:cantSplit/>
          <w:tblHeader w:val="false"/>
        </w:trPr>
        <w:tc>
          <w:tcPr>
            <w:tcW w:type="dxa" w:w="1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4. 지급·정산</w:t>
            </w:r>
          </w:p>
        </w:tc>
        <w:tc>
          <w:tcPr>
            <w:tcW w:type="dxa" w:w="1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①</w:t>
            </w:r>
          </w:p>
        </w:tc>
        <w:tc>
          <w:tcPr>
            <w:tcW w:type="dxa" w:w="3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청구금액 ≤ 선견적금액 × 1.15</w:t>
            </w:r>
          </w:p>
        </w:tc>
        <w:tc>
          <w:tcPr>
            <w:tcW w:type="dxa" w:w="32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선견적 대비 청구금액 과다</w:t>
            </w:r>
          </w:p>
        </w:tc>
      </w:tr>
      <w:tr>
        <w:trPr>
          <w:cantSplit/>
          <w:tblHeader w:val="false"/>
        </w:trPr>
        <w:tc>
          <w:tcPr>
            <w:tcW w:type="dxa" w:w="1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
            </w:r>
          </w:p>
        </w:tc>
        <w:tc>
          <w:tcPr>
            <w:tcW w:type="dxa" w:w="1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②</w:t>
            </w:r>
          </w:p>
        </w:tc>
        <w:tc>
          <w:tcPr>
            <w:tcW w:type="dxa" w:w="3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청구금액 ≤ 자동 지급한도</w:t>
            </w:r>
          </w:p>
        </w:tc>
        <w:tc>
          <w:tcPr>
            <w:tcW w:type="dxa" w:w="32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자동 지급한도 초과</w:t>
            </w:r>
          </w:p>
        </w:tc>
      </w:tr>
      <w:tr>
        <w:trPr>
          <w:cantSplit/>
          <w:tblHeader w:val="false"/>
        </w:trPr>
        <w:tc>
          <w:tcPr>
            <w:tcW w:type="dxa" w:w="1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처리 완료</w:t>
            </w:r>
          </w:p>
        </w:tc>
        <w:tc>
          <w:tcPr>
            <w:tcW w:type="dxa" w:w="1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w:t>
            </w:r>
          </w:p>
        </w:tc>
        <w:tc>
          <w:tcPr>
            <w:tcW w:type="dxa" w:w="3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전 단계 통과</w:t>
            </w:r>
          </w:p>
        </w:tc>
        <w:tc>
          <w:tcPr>
            <w:tcW w:type="dxa" w:w="32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무인 완료 처리 → 미결 목록에서 제거</w:t>
            </w:r>
          </w:p>
        </w:tc>
      </w:tr>
    </w:tbl>
    <w:p>
      <w:pPr>
        <w:spacing w:after="160" w:before="60" w:line="280"/>
      </w:pPr>
      <w:r>
        <w:rPr>
          <w:rFonts w:ascii="맑은 고딕" w:cs="맑은 고딕" w:eastAsia="맑은 고딕" w:hAnsi="맑은 고딕"/>
          <w:b w:val="false"/>
          <w:bCs w:val="false"/>
          <w:color w:val="4A5567"/>
          <w:sz w:val="17"/>
          <w:szCs w:val="17"/>
        </w:rPr>
        <w:t xml:space="preserve">※ 처리 종료 시 자동 완료 건수, 사람 확인 건수, 자동화율, ‘자동 처리분의 수작업 환산시간(건당 기준시간 × 자동완료 건수) 대비 실제 소요시간’이 함께 산출된다.</w:t>
      </w:r>
    </w:p>
    <w:p>
      <w:pPr>
        <w:pStyle w:val="Heading2"/>
        <w:spacing w:after="120" w:before="280"/>
      </w:pPr>
      <w:r>
        <w:rPr>
          <w:rFonts w:ascii="맑은 고딕" w:cs="맑은 고딕" w:eastAsia="맑은 고딕" w:hAnsi="맑은 고딕"/>
          <w:b/>
          <w:bCs/>
          <w:color w:val="16337A"/>
          <w:sz w:val="23"/>
          <w:szCs w:val="23"/>
        </w:rPr>
        <w:t xml:space="preserve">5.3 AI-OCR → 지급결의 → 지급결재 시퀀스</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400"/>
        <w:gridCol w:w="2100"/>
        <w:gridCol w:w="1920"/>
      </w:tblGrid>
      <w:tr>
        <w:trPr>
          <w:cantSplit/>
          <w:tblHeader/>
        </w:trPr>
        <w:tc>
          <w:tcPr>
            <w:tcW w:type="dxa" w:w="7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No</w:t>
            </w:r>
          </w:p>
        </w:tc>
        <w:tc>
          <w:tcPr>
            <w:tcW w:type="dxa" w:w="19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조작</w:t>
            </w:r>
          </w:p>
        </w:tc>
        <w:tc>
          <w:tcPr>
            <w:tcW w:type="dxa" w:w="24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시스템 처리</w:t>
            </w:r>
          </w:p>
        </w:tc>
        <w:tc>
          <w:tcPr>
            <w:tcW w:type="dxa" w:w="21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생성·변경 데이터</w:t>
            </w:r>
          </w:p>
        </w:tc>
        <w:tc>
          <w:tcPr>
            <w:tcW w:type="dxa" w:w="19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채번</w:t>
            </w:r>
          </w:p>
        </w:tc>
      </w:tr>
      <w:tr>
        <w:trPr>
          <w:cantSplit/>
          <w:tblHeader w:val="false"/>
        </w:trPr>
        <w:tc>
          <w:tcPr>
            <w:tcW w:type="dxa" w:w="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1</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AI-OCR 버튼 클릭</w:t>
            </w:r>
          </w:p>
        </w:tc>
        <w:tc>
          <w:tcPr>
            <w:tcW w:type="dxa" w:w="2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업로드 모달 표시(사고번호·차량번호·정비업체 표시)</w:t>
            </w:r>
          </w:p>
        </w:tc>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w:t>
            </w:r>
          </w:p>
        </w:tc>
        <w:tc>
          <w:tcPr>
            <w:tcW w:type="dxa" w:w="19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없음</w:t>
            </w:r>
          </w:p>
        </w:tc>
      </w:tr>
      <w:tr>
        <w:trPr>
          <w:cantSplit/>
          <w:tblHeader w:val="false"/>
        </w:trPr>
        <w:tc>
          <w:tcPr>
            <w:tcW w:type="dxa" w:w="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2</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파일 선택/드롭</w:t>
            </w:r>
          </w:p>
        </w:tc>
        <w:tc>
          <w:tcPr>
            <w:tcW w:type="dxa" w:w="2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확장자(PDF/JPG/PNG)·용량(20MB) 검증</w:t>
            </w:r>
          </w:p>
        </w:tc>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w:t>
            </w:r>
          </w:p>
        </w:tc>
        <w:tc>
          <w:tcPr>
            <w:tcW w:type="dxa" w:w="19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없음</w:t>
            </w:r>
          </w:p>
        </w:tc>
      </w:tr>
      <w:tr>
        <w:trPr>
          <w:cantSplit/>
          <w:tblHeader w:val="false"/>
        </w:trPr>
        <w:tc>
          <w:tcPr>
            <w:tcW w:type="dxa" w:w="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3</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분석 시작</w:t>
            </w:r>
          </w:p>
        </w:tc>
        <w:tc>
          <w:tcPr>
            <w:tcW w:type="dxa" w:w="2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인식 수행, 행별 인식값을 ocrOriginal로 복제 보존</w:t>
            </w:r>
          </w:p>
        </w:tc>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인식 행 집합 + 원본 보존값</w:t>
            </w:r>
          </w:p>
        </w:tc>
        <w:tc>
          <w:tcPr>
            <w:tcW w:type="dxa" w:w="19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없음</w:t>
            </w:r>
          </w:p>
        </w:tc>
      </w:tr>
      <w:tr>
        <w:trPr>
          <w:cantSplit/>
          <w:tblHeader w:val="false"/>
        </w:trPr>
        <w:tc>
          <w:tcPr>
            <w:tcW w:type="dxa" w:w="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4</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행 수정·추가·삭제·불인</w:t>
            </w:r>
          </w:p>
        </w:tc>
        <w:tc>
          <w:tcPr>
            <w:tcW w:type="dxa" w:w="2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수량 0 이하 차단, 음수 금액 차단, 불인 체크 시 손해사정금액 0 고정(해제 시 자동 복원하지 않음), 순번 자동 재정렬</w:t>
            </w:r>
          </w:p>
        </w:tc>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편집 중 행 집합</w:t>
            </w:r>
          </w:p>
        </w:tc>
        <w:tc>
          <w:tcPr>
            <w:tcW w:type="dxa" w:w="19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없음</w:t>
            </w:r>
          </w:p>
        </w:tc>
      </w:tr>
      <w:tr>
        <w:trPr>
          <w:cantSplit/>
          <w:tblHeader w:val="false"/>
        </w:trPr>
        <w:tc>
          <w:tcPr>
            <w:tcW w:type="dxa" w:w="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5</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확정</w:t>
            </w:r>
          </w:p>
        </w:tc>
        <w:tc>
          <w:tcPr>
            <w:tcW w:type="dxa" w:w="2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확정값 ↔ ocrOriginal 필드 단위 차분 → 변경 이력 생성. 결의를 만들지 않고 스테이징에 기록, 보기 모드를 청구서로 전환</w:t>
            </w:r>
          </w:p>
        </w:tc>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스테이징 배치 + 차분 이력</w:t>
            </w:r>
          </w:p>
        </w:tc>
        <w:tc>
          <w:tcPr>
            <w:tcW w:type="dxa" w:w="19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없음</w:t>
            </w:r>
          </w:p>
        </w:tc>
      </w:tr>
      <w:tr>
        <w:trPr>
          <w:cantSplit/>
          <w:tblHeader w:val="false"/>
        </w:trPr>
        <w:tc>
          <w:tcPr>
            <w:tcW w:type="dxa" w:w="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6</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저장</w:t>
            </w:r>
          </w:p>
        </w:tc>
        <w:tc>
          <w:tcPr>
            <w:tcW w:type="dxa" w:w="2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과실률 확정 검증 → 정비 견적 미저장 시 정비 결의, 스테이징 존재 시 부품 결의를 연속 생성. 재원 정산액 존재 시 손해사정금액 오버라이드</w:t>
            </w:r>
          </w:p>
        </w:tc>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지급결의 레코드(상태=결재 전)</w:t>
            </w:r>
          </w:p>
        </w:tc>
        <w:tc>
          <w:tcPr>
            <w:tcW w:type="dxa" w:w="19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결의순번 +1 (유형별 순차)</w:t>
            </w:r>
          </w:p>
        </w:tc>
      </w:tr>
      <w:tr>
        <w:trPr>
          <w:cantSplit/>
          <w:tblHeader w:val="false"/>
        </w:trPr>
        <w:tc>
          <w:tcPr>
            <w:tcW w:type="dxa" w:w="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7</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결의 선택</w:t>
            </w:r>
          </w:p>
        </w:tc>
        <w:tc>
          <w:tcPr>
            <w:tcW w:type="dxa" w:w="2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상태별 권한 매트릭스로 선택 가능 결의만 체크 허용(전체선택 포함)</w:t>
            </w:r>
          </w:p>
        </w:tc>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선택 집합</w:t>
            </w:r>
          </w:p>
        </w:tc>
        <w:tc>
          <w:tcPr>
            <w:tcW w:type="dxa" w:w="19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없음</w:t>
            </w:r>
          </w:p>
        </w:tc>
      </w:tr>
      <w:tr>
        <w:trPr>
          <w:cantSplit/>
          <w:tblHeader w:val="false"/>
        </w:trPr>
        <w:tc>
          <w:tcPr>
            <w:tcW w:type="dxa" w:w="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8</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상신</w:t>
            </w:r>
          </w:p>
        </w:tc>
        <w:tc>
          <w:tcPr>
            <w:tcW w:type="dxa" w:w="2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상태 재검증 → 과실률 재대조 → 결재의견 필수 → 비밀번호 검증 → 합산</w:t>
            </w:r>
          </w:p>
        </w:tc>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 레코드(상신중) + 결의 상태 상신중 잠금</w:t>
            </w:r>
          </w:p>
        </w:tc>
        <w:tc>
          <w:tcPr>
            <w:tcW w:type="dxa" w:w="19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결재순번 +1 (결의 N건 → 1개)</w:t>
            </w:r>
          </w:p>
        </w:tc>
      </w:tr>
      <w:tr>
        <w:trPr>
          <w:cantSplit/>
          <w:tblHeader w:val="false"/>
        </w:trPr>
        <w:tc>
          <w:tcPr>
            <w:tcW w:type="dxa" w:w="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9</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승인/반려/상신취소</w:t>
            </w:r>
          </w:p>
        </w:tc>
        <w:tc>
          <w:tcPr>
            <w:tcW w:type="dxa" w:w="2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 상태 변경을 연결 결의 전체로 역전파</w:t>
            </w:r>
          </w:p>
        </w:tc>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결의 상태 = 결재완료 / 반려 / 상신취소</w:t>
            </w:r>
          </w:p>
        </w:tc>
        <w:tc>
          <w:tcPr>
            <w:tcW w:type="dxa" w:w="19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재상신 시 신규 결재순번</w:t>
            </w:r>
          </w:p>
        </w:tc>
      </w:tr>
    </w:tbl>
    <w:p>
      <w:pPr>
        <w:pStyle w:val="Heading2"/>
        <w:spacing w:after="120" w:before="280"/>
      </w:pPr>
      <w:r>
        <w:rPr>
          <w:rFonts w:ascii="맑은 고딕" w:cs="맑은 고딕" w:eastAsia="맑은 고딕" w:hAnsi="맑은 고딕"/>
          <w:b/>
          <w:bCs/>
          <w:color w:val="16337A"/>
          <w:sz w:val="23"/>
          <w:szCs w:val="23"/>
        </w:rPr>
        <w:t xml:space="preserve">5.4 과실률 상태에 따른 조작 제어 및 상태 전이</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0"/>
        <w:gridCol w:w="1550"/>
        <w:gridCol w:w="1550"/>
        <w:gridCol w:w="1900"/>
        <w:gridCol w:w="1920"/>
      </w:tblGrid>
      <w:tr>
        <w:trPr>
          <w:cantSplit/>
          <w:tblHeader/>
        </w:trPr>
        <w:tc>
          <w:tcPr>
            <w:tcW w:type="dxa" w:w="21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대상 조작</w:t>
            </w:r>
          </w:p>
        </w:tc>
        <w:tc>
          <w:tcPr>
            <w:tcW w:type="dxa" w:w="155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과실률 미확정</w:t>
            </w:r>
          </w:p>
        </w:tc>
        <w:tc>
          <w:tcPr>
            <w:tcW w:type="dxa" w:w="155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과실률 확정</w:t>
            </w:r>
          </w:p>
        </w:tc>
        <w:tc>
          <w:tcPr>
            <w:tcW w:type="dxa" w:w="19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확정 후 과실률 변경 시 결의 상태</w:t>
            </w:r>
          </w:p>
        </w:tc>
        <w:tc>
          <w:tcPr>
            <w:tcW w:type="dxa" w:w="19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금액 재계산</w:t>
            </w:r>
          </w:p>
        </w:tc>
      </w:tr>
      <w:tr>
        <w:trPr>
          <w:cantSplit/>
          <w:tblHeader w:val="false"/>
        </w:trPr>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OCR 업로드·분석</w:t>
            </w:r>
          </w:p>
        </w:tc>
        <w:tc>
          <w:tcPr>
            <w:tcW w:type="dxa" w:w="15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허용</w:t>
            </w:r>
          </w:p>
        </w:tc>
        <w:tc>
          <w:tcPr>
            <w:tcW w:type="dxa" w:w="15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허용</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w:t>
            </w:r>
          </w:p>
        </w:tc>
        <w:tc>
          <w:tcPr>
            <w:tcW w:type="dxa" w:w="19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w:t>
            </w:r>
          </w:p>
        </w:tc>
      </w:tr>
      <w:tr>
        <w:trPr>
          <w:cantSplit/>
          <w:tblHeader w:val="false"/>
        </w:trPr>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OCR 결과 수정</w:t>
            </w:r>
          </w:p>
        </w:tc>
        <w:tc>
          <w:tcPr>
            <w:tcW w:type="dxa" w:w="15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허용</w:t>
            </w:r>
          </w:p>
        </w:tc>
        <w:tc>
          <w:tcPr>
            <w:tcW w:type="dxa" w:w="15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허용</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w:t>
            </w:r>
          </w:p>
        </w:tc>
        <w:tc>
          <w:tcPr>
            <w:tcW w:type="dxa" w:w="19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w:t>
            </w:r>
          </w:p>
        </w:tc>
      </w:tr>
      <w:tr>
        <w:trPr>
          <w:cantSplit/>
          <w:tblHeader w:val="false"/>
        </w:trPr>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결의 확정 / 재확정</w:t>
            </w:r>
          </w:p>
        </w:tc>
        <w:tc>
          <w:tcPr>
            <w:tcW w:type="dxa" w:w="15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차단</w:t>
            </w:r>
          </w:p>
        </w:tc>
        <w:tc>
          <w:tcPr>
            <w:tcW w:type="dxa" w:w="15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허용</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 전 → 재확인 필요</w:t>
            </w:r>
          </w:p>
        </w:tc>
        <w:tc>
          <w:tcPr>
            <w:tcW w:type="dxa" w:w="19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최신 과실률로 재계산</w:t>
            </w:r>
          </w:p>
        </w:tc>
      </w:tr>
      <w:tr>
        <w:trPr>
          <w:cantSplit/>
          <w:tblHeader w:val="false"/>
        </w:trPr>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결의 선택 체크박스</w:t>
            </w:r>
          </w:p>
        </w:tc>
        <w:tc>
          <w:tcPr>
            <w:tcW w:type="dxa" w:w="15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차단</w:t>
            </w:r>
          </w:p>
        </w:tc>
        <w:tc>
          <w:tcPr>
            <w:tcW w:type="dxa" w:w="15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허용</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재확인 필요 → 선택 불가</w:t>
            </w:r>
          </w:p>
        </w:tc>
        <w:tc>
          <w:tcPr>
            <w:tcW w:type="dxa" w:w="19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w:t>
            </w:r>
          </w:p>
        </w:tc>
      </w:tr>
      <w:tr>
        <w:trPr>
          <w:cantSplit/>
          <w:tblHeader w:val="false"/>
        </w:trPr>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결의 선택삭제</w:t>
            </w:r>
          </w:p>
        </w:tc>
        <w:tc>
          <w:tcPr>
            <w:tcW w:type="dxa" w:w="15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차단</w:t>
            </w:r>
          </w:p>
        </w:tc>
        <w:tc>
          <w:tcPr>
            <w:tcW w:type="dxa" w:w="15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허용</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반려·상신취소 → 재확인 필요</w:t>
            </w:r>
          </w:p>
        </w:tc>
        <w:tc>
          <w:tcPr>
            <w:tcW w:type="dxa" w:w="19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최신 과실률로 재계산</w:t>
            </w:r>
          </w:p>
        </w:tc>
      </w:tr>
      <w:tr>
        <w:trPr>
          <w:cantSplit/>
          <w:tblHeader w:val="false"/>
        </w:trPr>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지급결재 상신</w:t>
            </w:r>
          </w:p>
        </w:tc>
        <w:tc>
          <w:tcPr>
            <w:tcW w:type="dxa" w:w="15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차단</w:t>
            </w:r>
          </w:p>
        </w:tc>
        <w:tc>
          <w:tcPr>
            <w:tcW w:type="dxa" w:w="15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허용</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상신중 → 자동 변경 없음(경고만)</w:t>
            </w:r>
          </w:p>
        </w:tc>
        <w:tc>
          <w:tcPr>
            <w:tcW w:type="dxa" w:w="19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변경 없음</w:t>
            </w:r>
          </w:p>
        </w:tc>
      </w:tr>
      <w:tr>
        <w:trPr>
          <w:cantSplit/>
          <w:tblHeader w:val="false"/>
        </w:trPr>
        <w:tc>
          <w:tcPr>
            <w:tcW w:type="dxa" w:w="21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 완료 건</w:t>
            </w:r>
          </w:p>
        </w:tc>
        <w:tc>
          <w:tcPr>
            <w:tcW w:type="dxa" w:w="15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w:t>
            </w:r>
          </w:p>
        </w:tc>
        <w:tc>
          <w:tcPr>
            <w:tcW w:type="dxa" w:w="155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w:t>
            </w:r>
          </w:p>
        </w:tc>
        <w:tc>
          <w:tcPr>
            <w:tcW w:type="dxa" w:w="1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결재완료 → 자동 변경 없음</w:t>
            </w:r>
          </w:p>
        </w:tc>
        <w:tc>
          <w:tcPr>
            <w:tcW w:type="dxa" w:w="19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변경 없음 (추가지급·환입은 신규 결의)</w:t>
            </w:r>
          </w:p>
        </w:tc>
      </w:tr>
    </w:tbl>
    <w:p>
      <w:pPr>
        <w:spacing w:after="160" w:before="60" w:line="280"/>
      </w:pPr>
      <w:r>
        <w:rPr>
          <w:rFonts w:ascii="맑은 고딕" w:cs="맑은 고딕" w:eastAsia="맑은 고딕" w:hAnsi="맑은 고딕"/>
          <w:b w:val="false"/>
          <w:bCs w:val="false"/>
          <w:color w:val="4A5567"/>
          <w:sz w:val="17"/>
          <w:szCs w:val="17"/>
        </w:rPr>
        <w:t xml:space="preserve">※ 미확정 상태의 고정 안내 문구: “과실율 확정 후 결의입력하세요”. 상신 시점에 결의의 확정시점 과실률과 현재 과실률을 재대조하여 불일치 시 상신을 차단한다.</w:t>
      </w:r>
    </w:p>
    <w:p>
      <w:pPr>
        <w:pStyle w:val="Heading2"/>
        <w:spacing w:after="120" w:before="280"/>
      </w:pPr>
      <w:r>
        <w:rPr>
          <w:rFonts w:ascii="맑은 고딕" w:cs="맑은 고딕" w:eastAsia="맑은 고딕" w:hAnsi="맑은 고딕"/>
          <w:b/>
          <w:bCs/>
          <w:color w:val="16337A"/>
          <w:sz w:val="23"/>
          <w:szCs w:val="23"/>
        </w:rPr>
        <w:t xml:space="preserve">5.5 지급결의 상태 × 조작 권한 매트릭스</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500"/>
        <w:gridCol w:w="1520"/>
      </w:tblGrid>
      <w:tr>
        <w:trPr>
          <w:cantSplit/>
          <w:tblHeader/>
        </w:trPr>
        <w:tc>
          <w:tcPr>
            <w:tcW w:type="dxa" w:w="18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결의 상태</w:t>
            </w:r>
          </w:p>
        </w:tc>
        <w:tc>
          <w:tcPr>
            <w:tcW w:type="dxa" w:w="14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선택</w:t>
            </w:r>
          </w:p>
        </w:tc>
        <w:tc>
          <w:tcPr>
            <w:tcW w:type="dxa" w:w="14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수정</w:t>
            </w:r>
          </w:p>
        </w:tc>
        <w:tc>
          <w:tcPr>
            <w:tcW w:type="dxa" w:w="14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삭제</w:t>
            </w:r>
          </w:p>
        </w:tc>
        <w:tc>
          <w:tcPr>
            <w:tcW w:type="dxa" w:w="15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결재상신</w:t>
            </w:r>
          </w:p>
        </w:tc>
        <w:tc>
          <w:tcPr>
            <w:tcW w:type="dxa" w:w="15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비고</w:t>
            </w:r>
          </w:p>
        </w:tc>
      </w:tr>
      <w:tr>
        <w:trPr>
          <w:cantSplit/>
          <w:tblHeader w:val="false"/>
        </w:trPr>
        <w:tc>
          <w:tcPr>
            <w:tcW w:type="dxa" w:w="18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 전</w:t>
            </w:r>
          </w:p>
        </w:tc>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가능</w:t>
            </w:r>
          </w:p>
        </w:tc>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가능</w:t>
            </w:r>
          </w:p>
        </w:tc>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가능</w:t>
            </w:r>
          </w:p>
        </w:tc>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가능</w:t>
            </w:r>
          </w:p>
        </w:tc>
        <w:tc>
          <w:tcPr>
            <w:tcW w:type="dxa" w:w="1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정상 작업 상태</w:t>
            </w:r>
          </w:p>
        </w:tc>
      </w:tr>
      <w:tr>
        <w:trPr>
          <w:cantSplit/>
          <w:tblHeader w:val="false"/>
        </w:trPr>
        <w:tc>
          <w:tcPr>
            <w:tcW w:type="dxa" w:w="18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상신중</w:t>
            </w:r>
          </w:p>
        </w:tc>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불가</w:t>
            </w:r>
          </w:p>
        </w:tc>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불가</w:t>
            </w:r>
          </w:p>
        </w:tc>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불가</w:t>
            </w:r>
          </w:p>
        </w:tc>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불가</w:t>
            </w:r>
          </w:p>
        </w:tc>
        <w:tc>
          <w:tcPr>
            <w:tcW w:type="dxa" w:w="1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 진행 중 잠금</w:t>
            </w:r>
          </w:p>
        </w:tc>
      </w:tr>
      <w:tr>
        <w:trPr>
          <w:cantSplit/>
          <w:tblHeader w:val="false"/>
        </w:trPr>
        <w:tc>
          <w:tcPr>
            <w:tcW w:type="dxa" w:w="18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반려</w:t>
            </w:r>
          </w:p>
        </w:tc>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가능</w:t>
            </w:r>
          </w:p>
        </w:tc>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가능</w:t>
            </w:r>
          </w:p>
        </w:tc>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가능</w:t>
            </w:r>
          </w:p>
        </w:tc>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가능</w:t>
            </w:r>
          </w:p>
        </w:tc>
        <w:tc>
          <w:tcPr>
            <w:tcW w:type="dxa" w:w="1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이전 결재 ID는 이력으로 보존</w:t>
            </w:r>
          </w:p>
        </w:tc>
      </w:tr>
      <w:tr>
        <w:trPr>
          <w:cantSplit/>
          <w:tblHeader w:val="false"/>
        </w:trPr>
        <w:tc>
          <w:tcPr>
            <w:tcW w:type="dxa" w:w="18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상신취소</w:t>
            </w:r>
          </w:p>
        </w:tc>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가능</w:t>
            </w:r>
          </w:p>
        </w:tc>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가능</w:t>
            </w:r>
          </w:p>
        </w:tc>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가능</w:t>
            </w:r>
          </w:p>
        </w:tc>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가능</w:t>
            </w:r>
          </w:p>
        </w:tc>
        <w:tc>
          <w:tcPr>
            <w:tcW w:type="dxa" w:w="1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이전 결재 ID는 이력으로 보존</w:t>
            </w:r>
          </w:p>
        </w:tc>
      </w:tr>
      <w:tr>
        <w:trPr>
          <w:cantSplit/>
          <w:tblHeader w:val="false"/>
        </w:trPr>
        <w:tc>
          <w:tcPr>
            <w:tcW w:type="dxa" w:w="18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결재완료</w:t>
            </w:r>
          </w:p>
        </w:tc>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불가</w:t>
            </w:r>
          </w:p>
        </w:tc>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불가</w:t>
            </w:r>
          </w:p>
        </w:tc>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불가</w:t>
            </w:r>
          </w:p>
        </w:tc>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불가</w:t>
            </w:r>
          </w:p>
        </w:tc>
        <w:tc>
          <w:tcPr>
            <w:tcW w:type="dxa" w:w="1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금액·포함 결의 고정</w:t>
            </w:r>
          </w:p>
        </w:tc>
      </w:tr>
      <w:tr>
        <w:trPr>
          <w:cantSplit/>
          <w:tblHeader w:val="false"/>
        </w:trPr>
        <w:tc>
          <w:tcPr>
            <w:tcW w:type="dxa" w:w="18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재확인 필요</w:t>
            </w:r>
          </w:p>
        </w:tc>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불가</w:t>
            </w:r>
          </w:p>
        </w:tc>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가능</w:t>
            </w:r>
          </w:p>
        </w:tc>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가능</w:t>
            </w:r>
          </w:p>
        </w:tc>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재확정 후 가능</w:t>
            </w:r>
          </w:p>
        </w:tc>
        <w:tc>
          <w:tcPr>
            <w:tcW w:type="dxa" w:w="1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과실률 변경으로 강등된 상태</w:t>
            </w:r>
          </w:p>
        </w:tc>
      </w:tr>
    </w:tbl>
    <w:p>
      <w:pPr>
        <w:pStyle w:val="Heading2"/>
        <w:spacing w:after="120" w:before="280"/>
      </w:pPr>
      <w:r>
        <w:rPr>
          <w:rFonts w:ascii="맑은 고딕" w:cs="맑은 고딕" w:eastAsia="맑은 고딕" w:hAnsi="맑은 고딕"/>
          <w:b/>
          <w:bCs/>
          <w:color w:val="16337A"/>
          <w:sz w:val="23"/>
          <w:szCs w:val="23"/>
        </w:rPr>
        <w:t xml:space="preserve">5.6 순환배당 판정 시퀀스</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200"/>
        <w:gridCol w:w="2820"/>
      </w:tblGrid>
      <w:tr>
        <w:trPr>
          <w:cantSplit/>
          <w:tblHeader/>
        </w:trPr>
        <w:tc>
          <w:tcPr>
            <w:tcW w:type="dxa" w:w="7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순서</w:t>
            </w:r>
          </w:p>
        </w:tc>
        <w:tc>
          <w:tcPr>
            <w:tcW w:type="dxa" w:w="23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판정 항목</w:t>
            </w:r>
          </w:p>
        </w:tc>
        <w:tc>
          <w:tcPr>
            <w:tcW w:type="dxa" w:w="32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판정 내용</w:t>
            </w:r>
          </w:p>
        </w:tc>
        <w:tc>
          <w:tcPr>
            <w:tcW w:type="dxa" w:w="28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결과</w:t>
            </w:r>
          </w:p>
        </w:tc>
      </w:tr>
      <w:tr>
        <w:trPr>
          <w:cantSplit/>
          <w:tblHeader w:val="false"/>
        </w:trPr>
        <w:tc>
          <w:tcPr>
            <w:tcW w:type="dxa" w:w="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1</w:t>
            </w:r>
          </w:p>
        </w:tc>
        <w:tc>
          <w:tcPr>
            <w:tcW w:type="dxa" w:w="2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적용 여부</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isActive = false</w:t>
            </w:r>
          </w:p>
        </w:tc>
        <w:tc>
          <w:tcPr>
            <w:tcW w:type="dxa" w:w="28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제외 · 사유 “적용안함”</w:t>
            </w:r>
          </w:p>
        </w:tc>
      </w:tr>
      <w:tr>
        <w:trPr>
          <w:cantSplit/>
          <w:tblHeader w:val="false"/>
        </w:trPr>
        <w:tc>
          <w:tcPr>
            <w:tcW w:type="dxa" w:w="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2</w:t>
            </w:r>
          </w:p>
        </w:tc>
        <w:tc>
          <w:tcPr>
            <w:tcW w:type="dxa" w:w="2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배당방식</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배당방식 = 배당제외 (센터장·부장 등)</w:t>
            </w:r>
          </w:p>
        </w:tc>
        <w:tc>
          <w:tcPr>
            <w:tcW w:type="dxa" w:w="28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제외 · 사유 “배당제외 설정”</w:t>
            </w:r>
          </w:p>
        </w:tc>
      </w:tr>
      <w:tr>
        <w:trPr>
          <w:cantSplit/>
          <w:tblHeader w:val="false"/>
        </w:trPr>
        <w:tc>
          <w:tcPr>
            <w:tcW w:type="dxa" w:w="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3</w:t>
            </w:r>
          </w:p>
        </w:tc>
        <w:tc>
          <w:tcPr>
            <w:tcW w:type="dxa" w:w="2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배당상태</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배당상태 = 배당중지</w:t>
            </w:r>
          </w:p>
        </w:tc>
        <w:tc>
          <w:tcPr>
            <w:tcW w:type="dxa" w:w="28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제외 · 사유 “배당중지”</w:t>
            </w:r>
          </w:p>
        </w:tc>
      </w:tr>
      <w:tr>
        <w:trPr>
          <w:cantSplit/>
          <w:tblHeader w:val="false"/>
        </w:trPr>
        <w:tc>
          <w:tcPr>
            <w:tcW w:type="dxa" w:w="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4</w:t>
            </w:r>
          </w:p>
        </w:tc>
        <w:tc>
          <w:tcPr>
            <w:tcW w:type="dxa" w:w="2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부재 판정</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기준시점(적용일자 + 대표시각)이 부재 시작~종료 구간 내</w:t>
            </w:r>
          </w:p>
        </w:tc>
        <w:tc>
          <w:tcPr>
            <w:tcW w:type="dxa" w:w="28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제외 · 사유 “부재중”</w:t>
            </w:r>
          </w:p>
        </w:tc>
      </w:tr>
      <w:tr>
        <w:trPr>
          <w:cantSplit/>
          <w:tblHeader w:val="false"/>
        </w:trPr>
        <w:tc>
          <w:tcPr>
            <w:tcW w:type="dxa" w:w="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5</w:t>
            </w:r>
          </w:p>
        </w:tc>
        <w:tc>
          <w:tcPr>
            <w:tcW w:type="dxa" w:w="2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일 배당한도</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현재 배당건수 ≥ 일 배당한도 (한도 999 = 무제한)</w:t>
            </w:r>
          </w:p>
        </w:tc>
        <w:tc>
          <w:tcPr>
            <w:tcW w:type="dxa" w:w="28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제외 · 사유 “일 배당한도 초과”</w:t>
            </w:r>
          </w:p>
        </w:tc>
      </w:tr>
      <w:tr>
        <w:trPr>
          <w:cantSplit/>
          <w:tblHeader w:val="false"/>
        </w:trPr>
        <w:tc>
          <w:tcPr>
            <w:tcW w:type="dxa" w:w="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6</w:t>
            </w:r>
          </w:p>
        </w:tc>
        <w:tc>
          <w:tcPr>
            <w:tcW w:type="dxa" w:w="2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그룹 매칭</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그룹값 ‘전체’=항상 매칭, ‘제외’=항상 미매칭, 그 외 동일값 매칭</w:t>
            </w:r>
          </w:p>
        </w:tc>
        <w:tc>
          <w:tcPr>
            <w:tcW w:type="dxa" w:w="28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불일치 시 제외 · 사유 “지역/업체/지역·업체그룹 불일치”</w:t>
            </w:r>
          </w:p>
        </w:tc>
      </w:tr>
      <w:tr>
        <w:trPr>
          <w:cantSplit/>
          <w:tblHeader w:val="false"/>
        </w:trPr>
        <w:tc>
          <w:tcPr>
            <w:tcW w:type="dxa" w:w="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7</w:t>
            </w:r>
          </w:p>
        </w:tc>
        <w:tc>
          <w:tcPr>
            <w:tcW w:type="dxa" w:w="2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tier 산출</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업체순환=업체매칭(0) / 지역순환=지역매칭(1) / 지역+업체순환=업체(0)→지역(1)→공통(2)</w:t>
            </w:r>
          </w:p>
        </w:tc>
        <w:tc>
          <w:tcPr>
            <w:tcW w:type="dxa" w:w="28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후보에 계층값 부여</w:t>
            </w:r>
          </w:p>
        </w:tc>
      </w:tr>
      <w:tr>
        <w:trPr>
          <w:cantSplit/>
          <w:tblHeader w:val="false"/>
        </w:trPr>
        <w:tc>
          <w:tcPr>
            <w:tcW w:type="dxa" w:w="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8</w:t>
            </w:r>
          </w:p>
        </w:tc>
        <w:tc>
          <w:tcPr>
            <w:tcW w:type="dxa" w:w="2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정렬</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tier 오름차순 → 현재 배당건수 오름차순 → 사번 문자열 비교</w:t>
            </w:r>
          </w:p>
        </w:tc>
        <w:tc>
          <w:tcPr>
            <w:tcW w:type="dxa" w:w="28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배당 순번 확정</w:t>
            </w:r>
          </w:p>
        </w:tc>
      </w:tr>
      <w:tr>
        <w:trPr>
          <w:cantSplit/>
          <w:tblHeader w:val="false"/>
        </w:trPr>
        <w:tc>
          <w:tcPr>
            <w:tcW w:type="dxa" w:w="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9</w:t>
            </w:r>
          </w:p>
        </w:tc>
        <w:tc>
          <w:tcPr>
            <w:tcW w:type="dxa" w:w="2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확정</w:t>
            </w:r>
          </w:p>
        </w:tc>
        <w:tc>
          <w:tcPr>
            <w:tcW w:type="dxa" w:w="3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순번 1위</w:t>
            </w:r>
          </w:p>
        </w:tc>
        <w:tc>
          <w:tcPr>
            <w:tcW w:type="dxa" w:w="28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최종 배당예정자</w:t>
            </w:r>
          </w:p>
        </w:tc>
      </w:tr>
    </w:tbl>
    <w:p>
      <w:pPr>
        <w:spacing w:after="160" w:before="60" w:line="280"/>
      </w:pPr>
      <w:r>
        <w:rPr>
          <w:rFonts w:ascii="맑은 고딕" w:cs="맑은 고딕" w:eastAsia="맑은 고딕" w:hAnsi="맑은 고딕"/>
          <w:b w:val="false"/>
          <w:bCs w:val="false"/>
          <w:color w:val="4A5567"/>
          <w:sz w:val="17"/>
          <w:szCs w:val="17"/>
        </w:rPr>
        <w:t xml:space="preserve">※ 위 판정은 부작용 없는 순수 함수로 구현되어, 실배당과 ‘시뮬레이션(미리보기 전용, 저장 없음)’에 동일 로직이 공용된다. 반차·부재는 신규 배당만 제한하며 기존 배당건은 이관하지 않는다.</w:t>
      </w:r>
    </w:p>
    <w:p>
      <w:pPr>
        <w:pStyle w:val="Heading2"/>
        <w:spacing w:after="120" w:before="280"/>
      </w:pPr>
      <w:r>
        <w:rPr>
          <w:rFonts w:ascii="맑은 고딕" w:cs="맑은 고딕" w:eastAsia="맑은 고딕" w:hAnsi="맑은 고딕"/>
          <w:b/>
          <w:bCs/>
          <w:color w:val="16337A"/>
          <w:sz w:val="23"/>
          <w:szCs w:val="23"/>
        </w:rPr>
        <w:t xml:space="preserve">5.7 AI 심사 판정 매트릭스</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2200"/>
        <w:gridCol w:w="2120"/>
      </w:tblGrid>
      <w:tr>
        <w:trPr>
          <w:cantSplit/>
          <w:tblHeader/>
        </w:trPr>
        <w:tc>
          <w:tcPr>
            <w:tcW w:type="dxa" w:w="17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판정</w:t>
            </w:r>
          </w:p>
        </w:tc>
        <w:tc>
          <w:tcPr>
            <w:tcW w:type="dxa" w:w="15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합산점수</w:t>
            </w:r>
          </w:p>
        </w:tc>
        <w:tc>
          <w:tcPr>
            <w:tcW w:type="dxa" w:w="15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신뢰도</w:t>
            </w:r>
          </w:p>
        </w:tc>
        <w:tc>
          <w:tcPr>
            <w:tcW w:type="dxa" w:w="22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성립 조건</w:t>
            </w:r>
          </w:p>
        </w:tc>
        <w:tc>
          <w:tcPr>
            <w:tcW w:type="dxa" w:w="21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후속 조치</w:t>
            </w:r>
          </w:p>
        </w:tc>
      </w:tr>
      <w:tr>
        <w:trPr>
          <w:cantSplit/>
          <w:tblHeader w:val="false"/>
        </w:trPr>
        <w:tc>
          <w:tcPr>
            <w:tcW w:type="dxa" w:w="1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자료대기</w:t>
            </w:r>
          </w:p>
        </w:tc>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미산출</w:t>
            </w:r>
          </w:p>
        </w:tc>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미산출</w:t>
            </w:r>
          </w:p>
        </w:tc>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사진 또는 견적(청구서)이 없음</w:t>
            </w:r>
          </w:p>
        </w:tc>
        <w:tc>
          <w:tcPr>
            <w:tcW w:type="dxa" w:w="21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부족 자료 특정 → 사진/견적/청구서 요청 발송</w:t>
            </w:r>
          </w:p>
        </w:tc>
      </w:tr>
      <w:tr>
        <w:trPr>
          <w:cantSplit/>
          <w:tblHeader w:val="false"/>
        </w:trPr>
        <w:tc>
          <w:tcPr>
            <w:tcW w:type="dxa" w:w="1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청구서대기</w:t>
            </w:r>
          </w:p>
        </w:tc>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미산출</w:t>
            </w:r>
          </w:p>
        </w:tc>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미산출</w:t>
            </w:r>
          </w:p>
        </w:tc>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수리승인 완료, 청구서 미등록</w:t>
            </w:r>
          </w:p>
        </w:tc>
        <w:tc>
          <w:tcPr>
            <w:tcW w:type="dxa" w:w="21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정비업체에 청구서 등록 요청</w:t>
            </w:r>
          </w:p>
        </w:tc>
      </w:tr>
      <w:tr>
        <w:trPr>
          <w:cantSplit/>
          <w:tblHeader w:val="false"/>
        </w:trPr>
        <w:tc>
          <w:tcPr>
            <w:tcW w:type="dxa" w:w="1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분석실패</w:t>
            </w:r>
          </w:p>
        </w:tc>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미산출</w:t>
            </w:r>
          </w:p>
        </w:tc>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미산출</w:t>
            </w:r>
          </w:p>
        </w:tc>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OCR 인식 실패(스캔 품질 불량 등)</w:t>
            </w:r>
          </w:p>
        </w:tc>
        <w:tc>
          <w:tcPr>
            <w:tcW w:type="dxa" w:w="21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재등록 후 재분석</w:t>
            </w:r>
          </w:p>
        </w:tc>
      </w:tr>
      <w:tr>
        <w:trPr>
          <w:cantSplit/>
          <w:tblHeader w:val="false"/>
        </w:trPr>
        <w:tc>
          <w:tcPr>
            <w:tcW w:type="dxa" w:w="1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적정</w:t>
            </w:r>
          </w:p>
        </w:tc>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85 이상</w:t>
            </w:r>
          </w:p>
        </w:tc>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기준값 이상</w:t>
            </w:r>
          </w:p>
        </w:tc>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전 항목 감점 경미</w:t>
            </w:r>
          </w:p>
        </w:tc>
        <w:tc>
          <w:tcPr>
            <w:tcW w:type="dxa" w:w="21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승인금액 확정 · 검토회신 발송</w:t>
            </w:r>
          </w:p>
        </w:tc>
      </w:tr>
      <w:tr>
        <w:trPr>
          <w:cantSplit/>
          <w:tblHeader w:val="false"/>
        </w:trPr>
        <w:tc>
          <w:tcPr>
            <w:tcW w:type="dxa" w:w="1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조건부 적정</w:t>
            </w:r>
          </w:p>
        </w:tc>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70~84</w:t>
            </w:r>
          </w:p>
        </w:tc>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기준값 이상</w:t>
            </w:r>
          </w:p>
        </w:tc>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일부 항목 근거 부족</w:t>
            </w:r>
          </w:p>
        </w:tc>
        <w:tc>
          <w:tcPr>
            <w:tcW w:type="dxa" w:w="21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일부 승인 · 조건부 항목 사유 부기 · 추가자료 요청</w:t>
            </w:r>
          </w:p>
        </w:tc>
      </w:tr>
      <w:tr>
        <w:trPr>
          <w:cantSplit/>
          <w:tblHeader w:val="false"/>
        </w:trPr>
        <w:tc>
          <w:tcPr>
            <w:tcW w:type="dxa" w:w="1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보류</w:t>
            </w:r>
          </w:p>
        </w:tc>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50~69</w:t>
            </w:r>
          </w:p>
        </w:tc>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기준값 이상</w:t>
            </w:r>
          </w:p>
        </w:tc>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다수 항목 근거 부족</w:t>
            </w:r>
          </w:p>
        </w:tc>
        <w:tc>
          <w:tcPr>
            <w:tcW w:type="dxa" w:w="21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담당자 직접 확인</w:t>
            </w:r>
          </w:p>
        </w:tc>
      </w:tr>
      <w:tr>
        <w:trPr>
          <w:cantSplit/>
          <w:tblHeader w:val="false"/>
        </w:trPr>
        <w:tc>
          <w:tcPr>
            <w:tcW w:type="dxa" w:w="1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보류 (강제)</w:t>
            </w:r>
          </w:p>
        </w:tc>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임계 무관</w:t>
            </w:r>
          </w:p>
        </w:tc>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기준값 미만</w:t>
            </w:r>
          </w:p>
        </w:tc>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점수와 무관하게 판정 치환</w:t>
            </w:r>
          </w:p>
        </w:tc>
        <w:tc>
          <w:tcPr>
            <w:tcW w:type="dxa" w:w="21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강제보류 사유 기록 · 선명한 사진 재요청 후 재분석</w:t>
            </w:r>
          </w:p>
        </w:tc>
      </w:tr>
      <w:tr>
        <w:trPr>
          <w:cantSplit/>
          <w:tblHeader w:val="false"/>
        </w:trPr>
        <w:tc>
          <w:tcPr>
            <w:tcW w:type="dxa" w:w="17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부적정</w:t>
            </w:r>
          </w:p>
        </w:tc>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50 미만</w:t>
            </w:r>
          </w:p>
        </w:tc>
        <w:tc>
          <w:tcPr>
            <w:tcW w:type="dxa" w:w="1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기준값 이상</w:t>
            </w:r>
          </w:p>
        </w:tc>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청구 범위가 확인 파손보다 현저히 큼</w:t>
            </w:r>
          </w:p>
        </w:tc>
        <w:tc>
          <w:tcPr>
            <w:tcW w:type="dxa" w:w="21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부적정 회신 · 재견적 요구</w:t>
            </w:r>
          </w:p>
        </w:tc>
      </w:tr>
    </w:tbl>
    <w:p>
      <w:pPr>
        <w:spacing w:after="160" w:before="60" w:line="280"/>
      </w:pPr>
      <w:r>
        <w:rPr>
          <w:rFonts w:ascii="맑은 고딕" w:cs="맑은 고딕" w:eastAsia="맑은 고딕" w:hAnsi="맑은 고딕"/>
          <w:b w:val="false"/>
          <w:bCs w:val="false"/>
          <w:color w:val="4A5567"/>
          <w:sz w:val="17"/>
          <w:szCs w:val="17"/>
        </w:rPr>
        <w:t xml:space="preserve">※ 배점표는 심사 종류에 따라 분기한다. 수리승인(수리 전 견적심사) = 사고내용·파손형태 일치 15 / 사진·견적 부위 일치 25 / 수리방법 적정성 20 / 부품·공임·도장비 적정성 20 / 중복 청구 10 / 기존손상·사고무관 10. 손해사정(수리 후 청구심사) = 승인견적·청구서 일치 25 / 추가수리 근거 20 / 실제 수리 여부 20 / 미승인 항목 청구 15 / 청구금액 적정성 15 / 면책금·기지급금 반영 5.</w:t>
      </w:r>
    </w:p>
    <w:p>
      <w:pPr>
        <w:pStyle w:val="Heading2"/>
        <w:spacing w:after="120" w:before="280"/>
      </w:pPr>
      <w:r>
        <w:rPr>
          <w:rFonts w:ascii="맑은 고딕" w:cs="맑은 고딕" w:eastAsia="맑은 고딕" w:hAnsi="맑은 고딕"/>
          <w:b/>
          <w:bCs/>
          <w:color w:val="16337A"/>
          <w:sz w:val="23"/>
          <w:szCs w:val="23"/>
        </w:rPr>
        <w:t xml:space="preserve">5.8 종결 게이팅 매트릭스</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0"/>
      </w:tblGrid>
      <w:tr>
        <w:trPr>
          <w:cantSplit/>
          <w:tblHeader/>
        </w:trPr>
        <w:tc>
          <w:tcPr>
            <w:tcW w:type="dxa" w:w="22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조건</w:t>
            </w:r>
          </w:p>
        </w:tc>
        <w:tc>
          <w:tcPr>
            <w:tcW w:type="dxa" w:w="22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면책 종결</w:t>
            </w:r>
          </w:p>
        </w:tc>
        <w:tc>
          <w:tcPr>
            <w:tcW w:type="dxa" w:w="22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지급 종결</w:t>
            </w:r>
          </w:p>
        </w:tc>
        <w:tc>
          <w:tcPr>
            <w:tcW w:type="dxa" w:w="24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미충족 시 동작</w:t>
            </w:r>
          </w:p>
        </w:tc>
      </w:tr>
      <w:tr>
        <w:trPr>
          <w:cantSplit/>
          <w:tblHeader w:val="false"/>
        </w:trPr>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계약 사고정보 탭 저장</w:t>
            </w:r>
          </w:p>
        </w:tc>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필수</w:t>
            </w:r>
          </w:p>
        </w:tc>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필수</w:t>
            </w:r>
          </w:p>
        </w:tc>
        <w:tc>
          <w:tcPr>
            <w:tcW w:type="dxa" w:w="24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종결 구분 라디오 비활성</w:t>
            </w:r>
          </w:p>
        </w:tc>
      </w:tr>
      <w:tr>
        <w:trPr>
          <w:cantSplit/>
          <w:tblHeader w:val="false"/>
        </w:trPr>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피해 진행정보 탭 저장</w:t>
            </w:r>
          </w:p>
        </w:tc>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필수</w:t>
            </w:r>
          </w:p>
        </w:tc>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필수</w:t>
            </w:r>
          </w:p>
        </w:tc>
        <w:tc>
          <w:tcPr>
            <w:tcW w:type="dxa" w:w="24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종결 구분 라디오 비활성</w:t>
            </w:r>
          </w:p>
        </w:tc>
      </w:tr>
      <w:tr>
        <w:trPr>
          <w:cantSplit/>
          <w:tblHeader w:val="false"/>
        </w:trPr>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현재 활성 탭 = 청구 견적정보</w:t>
            </w:r>
          </w:p>
        </w:tc>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불요</w:t>
            </w:r>
          </w:p>
        </w:tc>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필수</w:t>
            </w:r>
          </w:p>
        </w:tc>
        <w:tc>
          <w:tcPr>
            <w:tcW w:type="dxa" w:w="24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지급 종결 선택 불가, 면책으로 자동 보정</w:t>
            </w:r>
          </w:p>
        </w:tc>
      </w:tr>
      <w:tr>
        <w:trPr>
          <w:cantSplit/>
          <w:tblHeader w:val="false"/>
        </w:trPr>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종결 버튼</w:t>
            </w:r>
          </w:p>
        </w:tc>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두 탭 저장 시 활성</w:t>
            </w:r>
          </w:p>
        </w:tc>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두 탭 저장 + 청구 견적정보 탭에서 활성</w:t>
            </w:r>
          </w:p>
        </w:tc>
        <w:tc>
          <w:tcPr>
            <w:tcW w:type="dxa" w:w="24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어느 구분도 불가하면 버튼 비활성</w:t>
            </w:r>
          </w:p>
        </w:tc>
      </w:tr>
    </w:tbl>
    <w:p>
      <w:pPr>
        <w:pStyle w:val="Heading2"/>
        <w:spacing w:after="120" w:before="280"/>
      </w:pPr>
      <w:r>
        <w:rPr>
          <w:rFonts w:ascii="맑은 고딕" w:cs="맑은 고딕" w:eastAsia="맑은 고딕" w:hAnsi="맑은 고딕"/>
          <w:b/>
          <w:bCs/>
          <w:color w:val="16337A"/>
          <w:sz w:val="23"/>
          <w:szCs w:val="23"/>
        </w:rPr>
        <w:t xml:space="preserve">5.9 금액 산출식 정리</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6520"/>
      </w:tblGrid>
      <w:tr>
        <w:trPr>
          <w:cantSplit/>
          <w:tblHeader/>
        </w:trPr>
        <w:tc>
          <w:tcPr>
            <w:tcW w:type="dxa" w:w="25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구분</w:t>
            </w:r>
          </w:p>
        </w:tc>
        <w:tc>
          <w:tcPr>
            <w:tcW w:type="dxa" w:w="65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산출식</w:t>
            </w:r>
          </w:p>
        </w:tc>
      </w:tr>
      <w:tr>
        <w:trPr>
          <w:cantSplit/>
          <w:tblHeader w:val="false"/>
        </w:trPr>
        <w:tc>
          <w:tcPr>
            <w:tcW w:type="dxa" w:w="2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청구금액 합계</w:t>
            </w:r>
          </w:p>
        </w:tc>
        <w:tc>
          <w:tcPr>
            <w:tcW w:type="dxa" w:w="6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Σ(행별 청구금액)</w:t>
            </w:r>
          </w:p>
        </w:tc>
      </w:tr>
      <w:tr>
        <w:trPr>
          <w:cantSplit/>
          <w:tblHeader w:val="false"/>
        </w:trPr>
        <w:tc>
          <w:tcPr>
            <w:tcW w:type="dxa" w:w="2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손해사정금액 합계</w:t>
            </w:r>
          </w:p>
        </w:tc>
        <w:tc>
          <w:tcPr>
            <w:tcW w:type="dxa" w:w="6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Σ(행별 손해사정금액), 단 불인(denied) 행은 0으로 산입</w:t>
            </w:r>
          </w:p>
        </w:tc>
      </w:tr>
      <w:tr>
        <w:trPr>
          <w:cantSplit/>
          <w:tblHeader w:val="false"/>
        </w:trPr>
        <w:tc>
          <w:tcPr>
            <w:tcW w:type="dxa" w:w="2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과실상계금액</w:t>
            </w:r>
          </w:p>
        </w:tc>
        <w:tc>
          <w:tcPr>
            <w:tcW w:type="dxa" w:w="6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손해사정금액 합계 × 자차 과실률 (청구금액에는 적용하지 않음)</w:t>
            </w:r>
          </w:p>
        </w:tc>
      </w:tr>
      <w:tr>
        <w:trPr>
          <w:cantSplit/>
          <w:tblHeader w:val="false"/>
        </w:trPr>
        <w:tc>
          <w:tcPr>
            <w:tcW w:type="dxa" w:w="2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최종 지급예정금액</w:t>
            </w:r>
          </w:p>
        </w:tc>
        <w:tc>
          <w:tcPr>
            <w:tcW w:type="dxa" w:w="6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손해사정금액 합계 − 과실상계금액</w:t>
            </w:r>
          </w:p>
        </w:tc>
      </w:tr>
      <w:tr>
        <w:trPr>
          <w:cantSplit/>
          <w:tblHeader w:val="false"/>
        </w:trPr>
        <w:tc>
          <w:tcPr>
            <w:tcW w:type="dxa" w:w="2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정비 재원 지급액</w:t>
            </w:r>
          </w:p>
        </w:tc>
        <w:tc>
          <w:tcPr>
            <w:tcW w:type="dxa" w:w="6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(공임소계 + 부품소계) + 부가세 − 자기부담금액</w:t>
            </w:r>
          </w:p>
        </w:tc>
      </w:tr>
      <w:tr>
        <w:trPr>
          <w:cantSplit/>
          <w:tblHeader w:val="false"/>
        </w:trPr>
        <w:tc>
          <w:tcPr>
            <w:tcW w:type="dxa" w:w="2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공임소계</w:t>
            </w:r>
          </w:p>
        </w:tc>
        <w:tc>
          <w:tcPr>
            <w:tcW w:type="dxa" w:w="6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탈착교환 + 판금교정 + 견인구난비 + 도장정산(= 도장재료대 + 도장공임 + 할증공임 + 가열건조비)</w:t>
            </w:r>
          </w:p>
        </w:tc>
      </w:tr>
      <w:tr>
        <w:trPr>
          <w:cantSplit/>
          <w:tblHeader w:val="false"/>
        </w:trPr>
        <w:tc>
          <w:tcPr>
            <w:tcW w:type="dxa" w:w="2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부품·유리 재원 합계</w:t>
            </w:r>
          </w:p>
        </w:tc>
        <w:tc>
          <w:tcPr>
            <w:tcW w:type="dxa" w:w="6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과세표준 + 부가세 − 과실상계액, 과세표준 = 부품소계 − (부품소계 × 할인율) − 감가상각 − 잔존물</w:t>
            </w:r>
          </w:p>
        </w:tc>
      </w:tr>
      <w:tr>
        <w:trPr>
          <w:cantSplit/>
          <w:tblHeader w:val="false"/>
        </w:trPr>
        <w:tc>
          <w:tcPr>
            <w:tcW w:type="dxa" w:w="2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결재금액</w:t>
            </w:r>
          </w:p>
        </w:tc>
        <w:tc>
          <w:tcPr>
            <w:tcW w:type="dxa" w:w="6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선택된 지급결의들의 최종 지급예정금액 합계</w:t>
            </w:r>
          </w:p>
        </w:tc>
      </w:tr>
      <w:tr>
        <w:trPr>
          <w:cantSplit/>
          <w:tblHeader w:val="false"/>
        </w:trPr>
        <w:tc>
          <w:tcPr>
            <w:tcW w:type="dxa" w:w="2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AI 인정금액</w:t>
            </w:r>
          </w:p>
        </w:tc>
        <w:tc>
          <w:tcPr>
            <w:tcW w:type="dxa" w:w="6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라인아이템 청구금액 합계 − 제외(불인정) 항목 합계</w:t>
            </w:r>
          </w:p>
        </w:tc>
      </w:tr>
      <w:tr>
        <w:trPr>
          <w:cantSplit/>
          <w:tblHeader w:val="false"/>
        </w:trPr>
        <w:tc>
          <w:tcPr>
            <w:tcW w:type="dxa" w:w="2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AI 인정률</w:t>
            </w:r>
          </w:p>
        </w:tc>
        <w:tc>
          <w:tcPr>
            <w:tcW w:type="dxa" w:w="6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AI 인정금액 ÷ 라인아이템 청구금액 합계 × 100</w:t>
            </w:r>
          </w:p>
        </w:tc>
      </w:tr>
    </w:tbl>
    <w:p>
      <w:r>
        <w:br w:type="page"/>
      </w:r>
    </w:p>
    <w:p>
      <w:pPr>
        <w:pStyle w:val="Heading1"/>
        <w:pBdr>
          <w:bottom w:val="single" w:color="1D4ED8" w:sz="12" w:space="4"/>
        </w:pBdr>
        <w:spacing w:after="160" w:before="360"/>
      </w:pPr>
      <w:r>
        <w:rPr>
          <w:rFonts w:ascii="맑은 고딕" w:cs="맑은 고딕" w:eastAsia="맑은 고딕" w:hAnsi="맑은 고딕"/>
          <w:b/>
          <w:bCs/>
          <w:color w:val="1D4ED8"/>
          <w:sz w:val="28"/>
          <w:szCs w:val="28"/>
        </w:rPr>
        <w:t xml:space="preserve">Ⅵ. 청구항 구성(안)</w:t>
      </w:r>
    </w:p>
    <w:p>
      <w:pPr>
        <w:spacing w:after="100" w:before="40" w:line="300"/>
        <w:jc w:val="both"/>
      </w:pPr>
      <w:r>
        <w:rPr>
          <w:rFonts w:ascii="맑은 고딕" w:cs="맑은 고딕" w:eastAsia="맑은 고딕" w:hAnsi="맑은 고딕"/>
          <w:color w:val="1B2430"/>
          <w:sz w:val="20"/>
          <w:szCs w:val="20"/>
        </w:rPr>
        <w:t xml:space="preserve">아래 구성안은 변리사 검토를 위한 방향 제시이며, 선행기술조사 결과에 따라 상·하위 개념의 조정이 필요하다. 단일 출원으로 전부를 포섭하기보다, 상호 독립성이 높은 군을 분리 출원하는 것을 권고한다.</w:t>
      </w:r>
    </w:p>
    <w:p>
      <w:pPr>
        <w:pStyle w:val="Heading2"/>
        <w:spacing w:after="120" w:before="280"/>
      </w:pPr>
      <w:r>
        <w:rPr>
          <w:rFonts w:ascii="맑은 고딕" w:cs="맑은 고딕" w:eastAsia="맑은 고딕" w:hAnsi="맑은 고딕"/>
          <w:b/>
          <w:bCs/>
          <w:color w:val="16337A"/>
          <w:sz w:val="23"/>
          <w:szCs w:val="23"/>
        </w:rPr>
        <w:t xml:space="preserve">6.1 독립항 후보</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300"/>
        <w:gridCol w:w="2320"/>
      </w:tblGrid>
      <w:tr>
        <w:trPr>
          <w:cantSplit/>
          <w:tblHeader/>
        </w:trPr>
        <w:tc>
          <w:tcPr>
            <w:tcW w:type="dxa" w:w="9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구분</w:t>
            </w:r>
          </w:p>
        </w:tc>
        <w:tc>
          <w:tcPr>
            <w:tcW w:type="dxa" w:w="25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발명의 명칭(가칭)</w:t>
            </w:r>
          </w:p>
        </w:tc>
        <w:tc>
          <w:tcPr>
            <w:tcW w:type="dxa" w:w="33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핵심 구성요소</w:t>
            </w:r>
          </w:p>
        </w:tc>
        <w:tc>
          <w:tcPr>
            <w:tcW w:type="dxa" w:w="23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근거 차별점</w:t>
            </w:r>
          </w:p>
        </w:tc>
      </w:tr>
      <w:tr>
        <w:trPr>
          <w:cantSplit/>
          <w:tblHeader w:val="false"/>
        </w:trPr>
        <w:tc>
          <w:tcPr>
            <w:tcW w:type="dxa" w:w="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제1군</w:t>
            </w:r>
          </w:p>
        </w:tc>
        <w:tc>
          <w:tcPr>
            <w:tcW w:type="dxa" w:w="2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차량 클레임의 미결 분류 및 무인 자동처리 시스템</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① 진행단계 식별자와 정지사유 식별자를 독립 필드로 저장하는 저장부 ② 단계별 검증조건 집합을 순차 판정하는 판정부 ③ 전 단계 통과 시 무인 완료 처리하고, 불통과 시 불통과 단계·사유를 기록하여 미결 목록에 잔류시키는 제어부 ④ 단계·사유의 2축 교차 필터링부</w:t>
            </w:r>
          </w:p>
        </w:tc>
        <w:tc>
          <w:tcPr>
            <w:tcW w:type="dxa" w:w="2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차별점 1, 2</w:t>
            </w:r>
          </w:p>
        </w:tc>
      </w:tr>
      <w:tr>
        <w:trPr>
          <w:cantSplit/>
          <w:tblHeader w:val="false"/>
        </w:trPr>
        <w:tc>
          <w:tcPr>
            <w:tcW w:type="dxa" w:w="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제2군</w:t>
            </w:r>
          </w:p>
        </w:tc>
        <w:tc>
          <w:tcPr>
            <w:tcW w:type="dxa" w:w="2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청구서 인식결과의 차분 이력 기반 지급결의 생성 및 합산 결재 시스템</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① 인식값을 원본 보존영역과 편집영역으로 이중 저장하는 저장부 ② 확정 조작 시 필드 단위 차분으로 변경 이력을 생성하는 이력 생성부 ③ 확정과 저장을 분리하여 임시영역을 경유시키는 스테이징부 ④ 결의순번과 결재순번을 독립 채번하고 복수 결의를 합산하여 결재 1건을 생성하는 결재 생성부 ⑤ 결재 상태를 연결 결의로 역전파하는 상태 동기화부</w:t>
            </w:r>
          </w:p>
        </w:tc>
        <w:tc>
          <w:tcPr>
            <w:tcW w:type="dxa" w:w="2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차별점 3, 4, 5</w:t>
            </w:r>
          </w:p>
        </w:tc>
      </w:tr>
      <w:tr>
        <w:trPr>
          <w:cantSplit/>
          <w:tblHeader w:val="false"/>
        </w:trPr>
        <w:tc>
          <w:tcPr>
            <w:tcW w:type="dxa" w:w="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제3군</w:t>
            </w:r>
          </w:p>
        </w:tc>
        <w:tc>
          <w:tcPr>
            <w:tcW w:type="dxa" w:w="2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금액 산정 전제값의 확정상태에 연동되는 결의 상태 제어 시스템</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① 전제값(과실률)의 값과 확정여부를 분리 관리하는 상태 관리부 ② 미확정 시 확정계 조작을 선택적으로 비활성화하는 제어부 ③ 전제값 변경 시 결재 진행상태별로 대상을 선별하여 재확인 상태로 전이·재계산하는 재검증부 ④ 상신 시 확정시점 전제값과 현재값을 재대조하는 검증부</w:t>
            </w:r>
          </w:p>
        </w:tc>
        <w:tc>
          <w:tcPr>
            <w:tcW w:type="dxa" w:w="2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차별점 6</w:t>
            </w:r>
          </w:p>
        </w:tc>
      </w:tr>
      <w:tr>
        <w:trPr>
          <w:cantSplit/>
          <w:tblHeader w:val="false"/>
        </w:trPr>
        <w:tc>
          <w:tcPr>
            <w:tcW w:type="dxa" w:w="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제4군</w:t>
            </w:r>
          </w:p>
        </w:tc>
        <w:tc>
          <w:tcPr>
            <w:tcW w:type="dxa" w:w="2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신뢰도 임계에 의한 강제보류를 포함하는 수리비 견적 AI 심사 시스템</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① 심사 종류에 따라 상이한 배점 항목 집합을 선택 적용하는 배점부 ② 합산점수를 다단 임계로 1차 판정하는 판정부 ③ 인식 신뢰도가 기준값 미만이면 1차 판정을 보류로 치환하고 치환 사유를 기록하는 강제보류부 ④ 라인아이템별 상태 분류에 기초하여 인정금액·불인정금액·인정률을 산출하는 금액 산정부 ⑤ 판정별 우선순위 정렬부</w:t>
            </w:r>
          </w:p>
        </w:tc>
        <w:tc>
          <w:tcPr>
            <w:tcW w:type="dxa" w:w="2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차별점 8</w:t>
            </w:r>
          </w:p>
        </w:tc>
      </w:tr>
      <w:tr>
        <w:trPr>
          <w:cantSplit/>
          <w:tblHeader w:val="false"/>
        </w:trPr>
        <w:tc>
          <w:tcPr>
            <w:tcW w:type="dxa" w:w="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제5군</w:t>
            </w:r>
          </w:p>
        </w:tc>
        <w:tc>
          <w:tcPr>
            <w:tcW w:type="dxa" w:w="25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다단 배제판정 및 결정론적 정렬에 의한 사고건 자동 배당 시스템</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① 직원별 배당설정·한도·부재기간을 보유하는 저장부 ② 배제조건을 정의 순서로 단락 평가하여 단일 제외사유를 확정하는 배제 판정부 ③ 그룹 매칭 종류별 계층값을 부여하는 우선순위 산출부 ④ 계층값·현재 배당건수·식별자의 다단 안정정렬로 순번을 산출하는 정렬부 ⑤ 동일 판정을 저장 없이 수행하는 시뮬레이션부</w:t>
            </w:r>
          </w:p>
        </w:tc>
        <w:tc>
          <w:tcPr>
            <w:tcW w:type="dxa" w:w="2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차별점 9</w:t>
            </w:r>
          </w:p>
        </w:tc>
      </w:tr>
    </w:tbl>
    <w:p>
      <w:pPr>
        <w:pStyle w:val="Heading2"/>
        <w:spacing w:after="120" w:before="280"/>
      </w:pPr>
      <w:r>
        <w:rPr>
          <w:rFonts w:ascii="맑은 고딕" w:cs="맑은 고딕" w:eastAsia="맑은 고딕" w:hAnsi="맑은 고딕"/>
          <w:b/>
          <w:bCs/>
          <w:color w:val="16337A"/>
          <w:sz w:val="23"/>
          <w:szCs w:val="23"/>
        </w:rPr>
        <w:t xml:space="preserve">6.2 종속항 후보</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4320"/>
      </w:tblGrid>
      <w:tr>
        <w:trPr>
          <w:cantSplit/>
          <w:tblHeader/>
        </w:trPr>
        <w:tc>
          <w:tcPr>
            <w:tcW w:type="dxa" w:w="14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대상 독립항</w:t>
            </w:r>
          </w:p>
        </w:tc>
        <w:tc>
          <w:tcPr>
            <w:tcW w:type="dxa" w:w="33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종속항 내용</w:t>
            </w:r>
          </w:p>
        </w:tc>
        <w:tc>
          <w:tcPr>
            <w:tcW w:type="dxa" w:w="43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비고</w:t>
            </w:r>
          </w:p>
        </w:tc>
      </w:tr>
      <w:tr>
        <w:trPr>
          <w:cantSplit/>
          <w:tblHeader w:val="false"/>
        </w:trPr>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제1군</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자동 완료 건수와 불통과 건수로부터 자동화율 및 수작업 환산 절감시간을 산출하는 단계를 더 포함</w:t>
            </w:r>
          </w:p>
        </w:tc>
        <w:tc>
          <w:tcPr>
            <w:tcW w:type="dxa" w:w="4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정량 효과의 시스템 내 산출</w:t>
            </w:r>
          </w:p>
        </w:tc>
      </w:tr>
      <w:tr>
        <w:trPr>
          <w:cantSplit/>
          <w:tblHeader w:val="false"/>
        </w:trPr>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제1군</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제4단계의 검증조건이 ‘청구금액 ≤ 선견적금액 × 소정 배수’ 및 ‘청구금액 ≤ 자동처리 한도금액’인 것</w:t>
            </w:r>
          </w:p>
        </w:tc>
        <w:tc>
          <w:tcPr>
            <w:tcW w:type="dxa" w:w="4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정량 조건의 구체화</w:t>
            </w:r>
          </w:p>
        </w:tc>
      </w:tr>
      <w:tr>
        <w:trPr>
          <w:cantSplit/>
          <w:tblHeader w:val="false"/>
        </w:trPr>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제2군</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변경유형을 행수정·행추가·불인변경으로 구분하여 기록하고, 누적 이력으로부터 필드별 수정률을 산출하는 것</w:t>
            </w:r>
          </w:p>
        </w:tc>
        <w:tc>
          <w:tcPr>
            <w:tcW w:type="dxa" w:w="4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OCR 품질 계량</w:t>
            </w:r>
          </w:p>
        </w:tc>
      </w:tr>
      <w:tr>
        <w:trPr>
          <w:cantSplit/>
          <w:tblHeader w:val="false"/>
        </w:trPr>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제2군</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임시영역에 기록된 내역과 기존 견적 내역이 모두 존재하는 경우 단일 저장 조작으로 두 개의 결의를 연속 채번·생성하는 것</w:t>
            </w:r>
          </w:p>
        </w:tc>
        <w:tc>
          <w:tcPr>
            <w:tcW w:type="dxa" w:w="4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다중 청구서 처리</w:t>
            </w:r>
          </w:p>
        </w:tc>
      </w:tr>
      <w:tr>
        <w:trPr>
          <w:cantSplit/>
          <w:tblHeader w:val="false"/>
        </w:trPr>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제2군</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 종류가 지급성인 경우에 한하여 인증정보 입력을 요구하고, 인증 성공 사실은 이력에 기록하지 않는 것</w:t>
            </w:r>
          </w:p>
        </w:tc>
        <w:tc>
          <w:tcPr>
            <w:tcW w:type="dxa" w:w="4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차등 인증</w:t>
            </w:r>
          </w:p>
        </w:tc>
      </w:tr>
      <w:tr>
        <w:trPr>
          <w:cantSplit/>
          <w:tblHeader w:val="false"/>
        </w:trPr>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제3군</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 진행상태가 상신중 또는 결재완료인 결의는 전제값 변경의 자동 반영 대상에서 제외하는 것</w:t>
            </w:r>
          </w:p>
        </w:tc>
        <w:tc>
          <w:tcPr>
            <w:tcW w:type="dxa" w:w="4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결재 무결성</w:t>
            </w:r>
          </w:p>
        </w:tc>
      </w:tr>
      <w:tr>
        <w:trPr>
          <w:cantSplit/>
          <w:tblHeader w:val="false"/>
        </w:trPr>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제4군</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사진 또는 견적의 부존재를 사전 판정하여 점수 산출을 수행하지 않고 부족 자료 종류를 특정하는 것</w:t>
            </w:r>
          </w:p>
        </w:tc>
        <w:tc>
          <w:tcPr>
            <w:tcW w:type="dxa" w:w="4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자료대기 분기</w:t>
            </w:r>
          </w:p>
        </w:tc>
      </w:tr>
      <w:tr>
        <w:trPr>
          <w:cantSplit/>
          <w:tblHeader w:val="false"/>
        </w:trPr>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제4군</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판정 결과로부터 거래처 회신문 초안을 생성하고, 수정된 회신문과 승인금액을 이력에 기록하는 것</w:t>
            </w:r>
          </w:p>
        </w:tc>
        <w:tc>
          <w:tcPr>
            <w:tcW w:type="dxa" w:w="4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회신 자동화</w:t>
            </w:r>
          </w:p>
        </w:tc>
      </w:tr>
      <w:tr>
        <w:trPr>
          <w:cantSplit/>
          <w:tblHeader w:val="false"/>
        </w:trPr>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제5군</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그룹 식별자에 전체(와일드카드) 및 제외(비매칭)의 특수값을 정의하는 것</w:t>
            </w:r>
          </w:p>
        </w:tc>
        <w:tc>
          <w:tcPr>
            <w:tcW w:type="dxa" w:w="4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그룹 운영 유연성</w:t>
            </w:r>
          </w:p>
        </w:tc>
      </w:tr>
      <w:tr>
        <w:trPr>
          <w:cantSplit/>
          <w:tblHeader w:val="false"/>
        </w:trPr>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제5군</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부재 설정이 신규 배당만 제한하고 기존 배당건을 이관하지 않는 것</w:t>
            </w:r>
          </w:p>
        </w:tc>
        <w:tc>
          <w:tcPr>
            <w:tcW w:type="dxa" w:w="4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운영 안정성</w:t>
            </w:r>
          </w:p>
        </w:tc>
      </w:tr>
      <w:tr>
        <w:trPr>
          <w:cantSplit/>
          <w:tblHeader w:val="false"/>
        </w:trPr>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공통</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외부 견적 시스템의 산출 결과를 라인아이템·이미지·재원 상세를 포함하는 스냅샷으로 취득하여 각 표시영역에 반영하고, 재원 정산액으로 결의의 손해사정금액을 대체하며 금액 출처 식별자를 기록하는 것</w:t>
            </w:r>
          </w:p>
        </w:tc>
        <w:tc>
          <w:tcPr>
            <w:tcW w:type="dxa" w:w="4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차별점 7 — 제2군 또는 제3군의 종속항</w:t>
            </w:r>
          </w:p>
        </w:tc>
      </w:tr>
      <w:tr>
        <w:trPr>
          <w:cantSplit/>
          <w:tblHeader w:val="false"/>
        </w:trPr>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공통</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종결 구분별로 상이한 선행조건을 정의하고, 화면 영역별 저장상태 및 현재 활성 영역 식별자로 종결 조작의 활성 여부를 결정하는 것</w:t>
            </w:r>
          </w:p>
        </w:tc>
        <w:tc>
          <w:tcPr>
            <w:tcW w:type="dxa" w:w="4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차별점 10</w:t>
            </w:r>
          </w:p>
        </w:tc>
      </w:tr>
      <w:tr>
        <w:trPr>
          <w:cantSplit/>
          <w:tblHeader w:val="false"/>
        </w:trPr>
        <w:tc>
          <w:tcPr>
            <w:tcW w:type="dxa" w:w="14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공통</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부위 코드 집합을 청구측·확인측으로 이중 보유하고, 확인측 입력 완료 및 승인 조작에 응답하여 외부 시스템·거래처 단말로 승인 지시를 송신하는 것</w:t>
            </w:r>
          </w:p>
        </w:tc>
        <w:tc>
          <w:tcPr>
            <w:tcW w:type="dxa" w:w="43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차별점 11</w:t>
            </w:r>
          </w:p>
        </w:tc>
      </w:tr>
    </w:tbl>
    <w:p>
      <w:pPr>
        <w:pStyle w:val="Heading2"/>
        <w:spacing w:after="120" w:before="280"/>
      </w:pPr>
      <w:r>
        <w:rPr>
          <w:rFonts w:ascii="맑은 고딕" w:cs="맑은 고딕" w:eastAsia="맑은 고딕" w:hAnsi="맑은 고딕"/>
          <w:b/>
          <w:bCs/>
          <w:color w:val="16337A"/>
          <w:sz w:val="23"/>
          <w:szCs w:val="23"/>
        </w:rPr>
        <w:t xml:space="preserve">6.3 발명의 카테고리</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cantSplit/>
          <w:tblHeader/>
        </w:trPr>
        <w:tc>
          <w:tcPr>
            <w:tcW w:type="dxa" w:w="22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카테고리</w:t>
            </w:r>
          </w:p>
        </w:tc>
        <w:tc>
          <w:tcPr>
            <w:tcW w:type="dxa" w:w="68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기재 방향</w:t>
            </w:r>
          </w:p>
        </w:tc>
      </w:tr>
      <w:tr>
        <w:trPr>
          <w:cantSplit/>
          <w:tblHeader w:val="false"/>
        </w:trPr>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시스템(장치) 청구항</w:t>
            </w:r>
          </w:p>
        </w:tc>
        <w:tc>
          <w:tcPr>
            <w:tcW w:type="dxa" w:w="68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“…를 저장하는 저장부, …를 판정하는 판정부, …를 제어하는 제어부를 포함하는 차량 클레임 처리 통합관리 시스템”. 프로세서·메모리·통신부를 포함하는 하드웨어 구성을 전제로 기재하여 발명의 성립성을 보강</w:t>
            </w:r>
          </w:p>
        </w:tc>
      </w:tr>
      <w:tr>
        <w:trPr>
          <w:cantSplit/>
          <w:tblHeader w:val="false"/>
        </w:trPr>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방법 청구항</w:t>
            </w:r>
          </w:p>
        </w:tc>
        <w:tc>
          <w:tcPr>
            <w:tcW w:type="dxa" w:w="68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“…시스템이 수행하는 방법으로서, …하는 단계를 포함하는 방법”. 시스템 청구항과 대응 관계를 유지하여 균등 범위 확보</w:t>
            </w:r>
          </w:p>
        </w:tc>
      </w:tr>
      <w:tr>
        <w:trPr>
          <w:cantSplit/>
          <w:tblHeader w:val="false"/>
        </w:trPr>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기록매체 청구항</w:t>
            </w:r>
          </w:p>
        </w:tc>
        <w:tc>
          <w:tcPr>
            <w:tcW w:type="dxa" w:w="68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“컴퓨터로 하여금 상기 방법을 실행시키기 위하여 매체에 저장된 컴퓨터 프로그램”. 국내 실무상 병기 권장</w:t>
            </w:r>
          </w:p>
        </w:tc>
      </w:tr>
    </w:tbl>
    <w:p>
      <w:r>
        <w:br w:type="page"/>
      </w:r>
    </w:p>
    <w:p>
      <w:pPr>
        <w:pStyle w:val="Heading1"/>
        <w:pBdr>
          <w:bottom w:val="single" w:color="1D4ED8" w:sz="12" w:space="4"/>
        </w:pBdr>
        <w:spacing w:after="160" w:before="360"/>
      </w:pPr>
      <w:r>
        <w:rPr>
          <w:rFonts w:ascii="맑은 고딕" w:cs="맑은 고딕" w:eastAsia="맑은 고딕" w:hAnsi="맑은 고딕"/>
          <w:b/>
          <w:bCs/>
          <w:color w:val="1D4ED8"/>
          <w:sz w:val="28"/>
          <w:szCs w:val="28"/>
        </w:rPr>
        <w:t xml:space="preserve">Ⅶ. 특허성 검토 의견 및 유의사항</w:t>
      </w:r>
    </w:p>
    <w:p>
      <w:pPr>
        <w:pStyle w:val="Heading2"/>
        <w:spacing w:after="120" w:before="280"/>
      </w:pPr>
      <w:r>
        <w:rPr>
          <w:rFonts w:ascii="맑은 고딕" w:cs="맑은 고딕" w:eastAsia="맑은 고딕" w:hAnsi="맑은 고딕"/>
          <w:b/>
          <w:bCs/>
          <w:color w:val="16337A"/>
          <w:sz w:val="23"/>
          <w:szCs w:val="23"/>
        </w:rPr>
        <w:t xml:space="preserve">7.1 유리한 점</w:t>
      </w:r>
    </w:p>
    <w:p>
      <w:pPr>
        <w:pStyle w:val="ListParagraph"/>
        <w:numPr>
          <w:ilvl w:val="0"/>
          <w:numId w:val="2"/>
        </w:numPr>
        <w:spacing w:after="60" w:before="20" w:line="290"/>
      </w:pPr>
      <w:r>
        <w:rPr>
          <w:rFonts w:ascii="맑은 고딕" w:cs="맑은 고딕" w:eastAsia="맑은 고딕" w:hAnsi="맑은 고딕"/>
          <w:b w:val="false"/>
          <w:bCs w:val="false"/>
          <w:color w:val="1B2430"/>
          <w:sz w:val="20"/>
          <w:szCs w:val="20"/>
        </w:rPr>
        <w:t xml:space="preserve">업무 흐름의 서술에 그치지 않고, 각 차별점이 ‘입력값 → 판정식 → 상태 전이 → 출력 제어’로 구체화되어 있다. 특히 차별점 2(단계별 검증조건 순차 판정), 차별점 6(전제값 확정상태 기반 상태 강등), 차별점 8(신뢰도 임계 강제보류), 차별점 9(다단 배제 + 결정론적 정렬)는 판정 규칙과 임계값이 명시되어 있어 청구항 구성이 용이하다.</w:t>
      </w:r>
    </w:p>
    <w:p>
      <w:pPr>
        <w:pStyle w:val="ListParagraph"/>
        <w:numPr>
          <w:ilvl w:val="0"/>
          <w:numId w:val="2"/>
        </w:numPr>
        <w:spacing w:after="60" w:before="20" w:line="290"/>
      </w:pPr>
      <w:r>
        <w:rPr>
          <w:rFonts w:ascii="맑은 고딕" w:cs="맑은 고딕" w:eastAsia="맑은 고딕" w:hAnsi="맑은 고딕"/>
          <w:b w:val="false"/>
          <w:bCs w:val="false"/>
          <w:color w:val="1B2430"/>
          <w:sz w:val="20"/>
          <w:szCs w:val="20"/>
        </w:rPr>
        <w:t xml:space="preserve">차별점 3(원본 보존 + 확정시점 필드 차분)과 차별점 5(이원 채번 + N:1 합산 + 역전파)는 단순 업무규칙이 아니라 데이터 구조 자체의 설계이므로, ‘영업방법의 단순 자동화’라는 거절이유에 대한 반박 논거가 비교적 명확하다.</w:t>
      </w:r>
    </w:p>
    <w:p>
      <w:pPr>
        <w:pStyle w:val="ListParagraph"/>
        <w:numPr>
          <w:ilvl w:val="0"/>
          <w:numId w:val="2"/>
        </w:numPr>
        <w:spacing w:after="60" w:before="20" w:line="290"/>
      </w:pPr>
      <w:r>
        <w:rPr>
          <w:rFonts w:ascii="맑은 고딕" w:cs="맑은 고딕" w:eastAsia="맑은 고딕" w:hAnsi="맑은 고딕"/>
          <w:b w:val="false"/>
          <w:bCs w:val="false"/>
          <w:color w:val="1B2430"/>
          <w:sz w:val="20"/>
          <w:szCs w:val="20"/>
        </w:rPr>
        <w:t xml:space="preserve">각 구성이 상호 연계되어 하나의 처리 체인을 이룬다(자동처리 정지사유 → 미결 분류 → 담당자 처리 → OCR 확정 → 결의 → 결재 → 종결). 조합에 의한 상승효과를 진보성 논거로 사용할 수 있다.</w:t>
      </w:r>
    </w:p>
    <w:p>
      <w:pPr>
        <w:pStyle w:val="ListParagraph"/>
        <w:numPr>
          <w:ilvl w:val="0"/>
          <w:numId w:val="2"/>
        </w:numPr>
        <w:spacing w:after="60" w:before="20" w:line="290"/>
      </w:pPr>
      <w:r>
        <w:rPr>
          <w:rFonts w:ascii="맑은 고딕" w:cs="맑은 고딕" w:eastAsia="맑은 고딕" w:hAnsi="맑은 고딕"/>
          <w:b w:val="false"/>
          <w:bCs w:val="false"/>
          <w:color w:val="1B2430"/>
          <w:sz w:val="20"/>
          <w:szCs w:val="20"/>
        </w:rPr>
        <w:t xml:space="preserve">렌터카·리스 사업자의 클레임이라는 도메인 특수성(면책 종결과 지급 종결의 이원성, 복수 지급처 청구서, 임대차계약 기반 면책금)이 구성에 반영되어 있어, 보험 보상시스템 선행문헌과의 구성상 차이를 설명하기 쉽다.</w:t>
      </w:r>
    </w:p>
    <w:p>
      <w:pPr>
        <w:pStyle w:val="Heading2"/>
        <w:spacing w:after="120" w:before="280"/>
      </w:pPr>
      <w:r>
        <w:rPr>
          <w:rFonts w:ascii="맑은 고딕" w:cs="맑은 고딕" w:eastAsia="맑은 고딕" w:hAnsi="맑은 고딕"/>
          <w:b/>
          <w:bCs/>
          <w:color w:val="16337A"/>
          <w:sz w:val="23"/>
          <w:szCs w:val="23"/>
        </w:rPr>
        <w:t xml:space="preserve">7.2 예상되는 거절이유와 대응 방향</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0"/>
      </w:tblGrid>
      <w:tr>
        <w:trPr>
          <w:cantSplit/>
          <w:tblHeader/>
        </w:trPr>
        <w:tc>
          <w:tcPr>
            <w:tcW w:type="dxa" w:w="22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예상 거절이유</w:t>
            </w:r>
          </w:p>
        </w:tc>
        <w:tc>
          <w:tcPr>
            <w:tcW w:type="dxa" w:w="33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내용</w:t>
            </w:r>
          </w:p>
        </w:tc>
        <w:tc>
          <w:tcPr>
            <w:tcW w:type="dxa" w:w="35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대응 방향</w:t>
            </w:r>
          </w:p>
        </w:tc>
      </w:tr>
      <w:tr>
        <w:trPr>
          <w:cantSplit/>
          <w:tblHeader w:val="false"/>
        </w:trPr>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발명의 성립성 (§29①본문)</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“사람의 업무처리 순서를 컴퓨터에 옮긴 것에 불과하다”는 취지</w:t>
            </w:r>
          </w:p>
        </w:tc>
        <w:tc>
          <w:tcPr>
            <w:tcW w:type="dxa" w:w="3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청구항에 하드웨어(프로세서·저장부·통신부)와의 협동을 명시하고, 판정식·임계값·상태 전이·데이터 구조를 구성요소로 특정. 효과를 ‘업무 편의’가 아니라 ‘오상신 차단’, ‘인식품질 계량 가능’, ‘결정론적 배당’ 등 기술적 효과로 기재</w:t>
            </w:r>
          </w:p>
        </w:tc>
      </w:tr>
      <w:tr>
        <w:trPr>
          <w:cantSplit/>
          <w:tblHeader w:val="false"/>
        </w:trPr>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신규성 (§29①)</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미결 목록 2축 분류, 전자결재 합산, OCR 수정이력 등 개별 요소의 공지</w:t>
            </w:r>
          </w:p>
        </w:tc>
        <w:tc>
          <w:tcPr>
            <w:tcW w:type="dxa" w:w="3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개별 요소가 아닌 ‘조합’과 ‘구체적 판정 규칙’으로 청구항을 구성. 예: 단순 수정이력이 아니라 ‘원본 보존영역과 편집영역의 이중 저장 + 확정 시점 한정 차분’</w:t>
            </w:r>
          </w:p>
        </w:tc>
      </w:tr>
      <w:tr>
        <w:trPr>
          <w:cantSplit/>
          <w:tblHeader w:val="false"/>
        </w:trPr>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진보성 (§29②)</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공지 요소의 단순 조합이라는 취지</w:t>
            </w:r>
          </w:p>
        </w:tc>
        <w:tc>
          <w:tcPr>
            <w:tcW w:type="dxa" w:w="3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조합에 의한 상승효과를 명세서에 명시. 예: 확정시점 차분 이력(차별점 3)이 없으면 필드별 수정률 산출이 불가하고, 스테이징(차별점 4)이 없으면 결번이 발생하며, 역전파(차별점 5)가 없으면 반려 시 재작업 대상 특정이 불가하다는 인과관계 기술</w:t>
            </w:r>
          </w:p>
        </w:tc>
      </w:tr>
      <w:tr>
        <w:trPr>
          <w:cantSplit/>
          <w:tblHeader w:val="false"/>
        </w:trPr>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실시가능요건 (§42④)</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AI 심사·OCR의 구체적 구현이 개시되지 않음</w:t>
            </w:r>
          </w:p>
        </w:tc>
        <w:tc>
          <w:tcPr>
            <w:tcW w:type="dxa" w:w="3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7.3 참조. 인식·추론 모델 자체를 청구하지 않고 ‘인식결과 및 신뢰도를 입력받아 처리하는 후단 구성’으로 한정하여 기재하는 것이 안전</w:t>
            </w:r>
          </w:p>
        </w:tc>
      </w:tr>
      <w:tr>
        <w:trPr>
          <w:cantSplit/>
          <w:tblHeader w:val="false"/>
        </w:trPr>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명확성 (§42④2호)</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‘적정’, ‘과다’ 등 정성 용어</w:t>
            </w:r>
          </w:p>
        </w:tc>
        <w:tc>
          <w:tcPr>
            <w:tcW w:type="dxa" w:w="3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임계값(85/70/50), 배수(1.15), 한도금액을 명세서에 수치로 개시하고, 청구항에는 ‘소정의 임계값’, ‘소정의 배수’로 기재한 뒤 종속항에서 수치 한정</w:t>
            </w:r>
          </w:p>
        </w:tc>
      </w:tr>
    </w:tbl>
    <w:p>
      <w:pPr>
        <w:pStyle w:val="Heading2"/>
        <w:spacing w:after="120" w:before="280"/>
      </w:pPr>
      <w:r>
        <w:rPr>
          <w:rFonts w:ascii="맑은 고딕" w:cs="맑은 고딕" w:eastAsia="맑은 고딕" w:hAnsi="맑은 고딕"/>
          <w:b/>
          <w:bCs/>
          <w:color w:val="16337A"/>
          <w:sz w:val="23"/>
          <w:szCs w:val="23"/>
        </w:rPr>
        <w:t xml:space="preserve">7.3 현 산출물의 한계 — 출원 전 반드시 보완할 사항</w:t>
      </w:r>
    </w:p>
    <w:p>
      <w:pPr>
        <w:spacing w:after="100" w:before="40" w:line="300"/>
        <w:jc w:val="both"/>
      </w:pPr>
      <w:r>
        <w:rPr>
          <w:rFonts w:ascii="맑은 고딕" w:cs="맑은 고딕" w:eastAsia="맑은 고딕" w:hAnsi="맑은 고딕"/>
          <w:b w:val="false"/>
          <w:bCs w:val="false"/>
          <w:color w:val="1B2430"/>
          <w:sz w:val="20"/>
          <w:szCs w:val="20"/>
        </w:rPr>
        <w:t xml:space="preserve">현재 저장소의 claim-erp-split는 백엔드·데이터베이스 없이 브라우저에서 동작하는 정적 프로토타입이며, 다음 사항은 실제 구현이 아닌 모사(mock) 상태이다. 명세서 작성 시 이를 전제로 기재 전략을 결정해야 한다.</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0"/>
      </w:tblGrid>
      <w:tr>
        <w:trPr>
          <w:cantSplit/>
          <w:tblHeader/>
        </w:trPr>
        <w:tc>
          <w:tcPr>
            <w:tcW w:type="dxa" w:w="22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항목</w:t>
            </w:r>
          </w:p>
        </w:tc>
        <w:tc>
          <w:tcPr>
            <w:tcW w:type="dxa" w:w="33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현 상태</w:t>
            </w:r>
          </w:p>
        </w:tc>
        <w:tc>
          <w:tcPr>
            <w:tcW w:type="dxa" w:w="35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출원 시 고려사항</w:t>
            </w:r>
          </w:p>
        </w:tc>
      </w:tr>
      <w:tr>
        <w:trPr>
          <w:cantSplit/>
          <w:tblHeader w:val="false"/>
        </w:trPr>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AI-OCR 인식</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파일명·사고번호를 시드로 하는 결정론적 더미 결과를 생성. 실제 OCR API 호출 없음(교체 가능한 단일 인터페이스로 격리)</w:t>
            </w:r>
          </w:p>
        </w:tc>
        <w:tc>
          <w:tcPr>
            <w:tcW w:type="dxa" w:w="3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인식 엔진 자체를 청구하지 말고, ‘인식 결과(행 집합)와 신뢰도를 입력받아 원본 보존·차분·결의화하는 후단 처리’로 한정. 이 범위에서는 실시가능요건 충족에 문제 없음</w:t>
            </w:r>
          </w:p>
        </w:tc>
      </w:tr>
      <w:tr>
        <w:trPr>
          <w:cantSplit/>
          <w:tblHeader w:val="false"/>
        </w:trPr>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AI 심사 판정</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배점·신뢰도·사유 문장이 시나리오별 고정 데이터. 실제 추론 모델 없음</w:t>
            </w:r>
          </w:p>
        </w:tc>
        <w:tc>
          <w:tcPr>
            <w:tcW w:type="dxa" w:w="3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동일. ‘항목별 획득점수와 인식 신뢰도를 입력받아 판정하는 구성’으로 한정하면 판정 로직(임계·강제보류·인정금액 산정)은 명세서 기재만으로 실시 가능</w:t>
            </w:r>
          </w:p>
        </w:tc>
      </w:tr>
      <w:tr>
        <w:trPr>
          <w:cantSplit/>
          <w:tblHeader w:val="false"/>
        </w:trPr>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AOS 연동</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스냅샷 mock 객체. 실제 외부 IF 미연동</w:t>
            </w:r>
          </w:p>
        </w:tc>
        <w:tc>
          <w:tcPr>
            <w:tcW w:type="dxa" w:w="3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‘외부 시스템으로부터 수신한 스냅샷’으로 기재하고, 통신 프로토콜은 한정하지 않음</w:t>
            </w:r>
          </w:p>
        </w:tc>
      </w:tr>
      <w:tr>
        <w:trPr>
          <w:cantSplit/>
          <w:tblHeader w:val="false"/>
        </w:trPr>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데이터 영속화</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in-memory 변수 및 localStorage. 백엔드 DB·트랜잭션·동시성 제어 없음</w:t>
            </w:r>
          </w:p>
        </w:tc>
        <w:tc>
          <w:tcPr>
            <w:tcW w:type="dxa" w:w="3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채번의 원자성, 결재 상태 전파의 트랜잭션 처리, 동시 수정 충돌 제어는 명세서에 별도 기재 권장. 특히 ‘결의순번·결재순번 채번의 원자성’은 종속항 소재가 될 수 있음</w:t>
            </w:r>
          </w:p>
        </w:tc>
      </w:tr>
      <w:tr>
        <w:trPr>
          <w:cantSplit/>
          <w:tblHeader w:val="false"/>
        </w:trPr>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인증·권한</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데모 비밀번호 상수(고정값), 결재자 선택은 드롭다운</w:t>
            </w:r>
          </w:p>
        </w:tc>
        <w:tc>
          <w:tcPr>
            <w:tcW w:type="dxa" w:w="3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실제 인증 수단(전자서명·OTP 등)은 ‘인증정보 검증부’로 상위 개념화하여 기재</w:t>
            </w:r>
          </w:p>
        </w:tc>
      </w:tr>
      <w:tr>
        <w:trPr>
          <w:cantSplit/>
          <w:tblHeader w:val="false"/>
        </w:trPr>
        <w:tc>
          <w:tcPr>
            <w:tcW w:type="dxa" w:w="22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감사·보존</w:t>
            </w:r>
          </w:p>
        </w:tc>
        <w:tc>
          <w:tcPr>
            <w:tcW w:type="dxa" w:w="33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결의 삭제가 물리 삭제</w:t>
            </w:r>
          </w:p>
        </w:tc>
        <w:tc>
          <w:tcPr>
            <w:tcW w:type="dxa" w:w="35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실제 운영에서는 논리삭제 + 감사이력 보존이 필요. 이를 종속항 및 실시예로 기재하면 구성 보강 효과</w:t>
            </w:r>
          </w:p>
        </w:tc>
      </w:tr>
    </w:tbl>
    <w:p>
      <w:pPr>
        <w:spacing w:after="100" w:before="40" w:line="300"/>
        <w:jc w:val="both"/>
      </w:pPr>
      <w:r>
        <w:rPr>
          <w:rFonts w:ascii="맑은 고딕" w:cs="맑은 고딕" w:eastAsia="맑은 고딕" w:hAnsi="맑은 고딕"/>
          <w:b/>
          <w:bCs/>
          <w:color w:val="1B2430"/>
          <w:sz w:val="20"/>
          <w:szCs w:val="20"/>
        </w:rPr>
        <w:t xml:space="preserve">결론적으로, 본 시스템의 특허성은 ‘AI 인식 기술’이 아니라 ‘인식·산출 결과를 업무 상태·권한·채번·결재와 결합하여 통제하는 정보처리 구조’에 있다. 청구항을 후자에 집중시키면 현 산출물만으로도 실시가능요건을 충족할 수 있다.</w:t>
      </w:r>
    </w:p>
    <w:p>
      <w:pPr>
        <w:pStyle w:val="Heading2"/>
        <w:spacing w:after="120" w:before="280"/>
      </w:pPr>
      <w:r>
        <w:rPr>
          <w:rFonts w:ascii="맑은 고딕" w:cs="맑은 고딕" w:eastAsia="맑은 고딕" w:hAnsi="맑은 고딕"/>
          <w:b/>
          <w:bCs/>
          <w:color w:val="16337A"/>
          <w:sz w:val="23"/>
          <w:szCs w:val="23"/>
        </w:rPr>
        <w:t xml:space="preserve">7.4 선행기술조사 권고 키워드</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7220"/>
      </w:tblGrid>
      <w:tr>
        <w:trPr>
          <w:cantSplit/>
          <w:tblHeader/>
        </w:trPr>
        <w:tc>
          <w:tcPr>
            <w:tcW w:type="dxa" w:w="18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구분</w:t>
            </w:r>
          </w:p>
        </w:tc>
        <w:tc>
          <w:tcPr>
            <w:tcW w:type="dxa" w:w="72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키워드</w:t>
            </w:r>
          </w:p>
        </w:tc>
      </w:tr>
      <w:tr>
        <w:trPr>
          <w:cantSplit/>
          <w:tblHeader w:val="false"/>
        </w:trPr>
        <w:tc>
          <w:tcPr>
            <w:tcW w:type="dxa" w:w="18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국문</w:t>
            </w:r>
          </w:p>
        </w:tc>
        <w:tc>
          <w:tcPr>
            <w:tcW w:type="dxa" w:w="72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자동차 보험금 청구 자동화 / 수리비 견적 심사 / 손해사정 자동화 / 사고접수 자동배당 / 미결 업무 자동분류 / 전자결재 전결한도 / 지급결의 합산 결재 / OCR 수정이력 / 과실상계 자동계산 / 렌터카 사고관리 시스템</w:t>
            </w:r>
          </w:p>
        </w:tc>
      </w:tr>
      <w:tr>
        <w:trPr>
          <w:cantSplit/>
          <w:tblHeader w:val="false"/>
        </w:trPr>
        <w:tc>
          <w:tcPr>
            <w:tcW w:type="dxa" w:w="18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영문</w:t>
            </w:r>
          </w:p>
        </w:tc>
        <w:tc>
          <w:tcPr>
            <w:tcW w:type="dxa" w:w="72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insurance claim triage, automated claim adjudication, repair estimate audit, line-item adjudication, OCR correction audit trail, confidence threshold override, workload round-robin assignment, deterministic task allocation, multi-invoice payment batching, approval limit delegation</w:t>
            </w:r>
          </w:p>
        </w:tc>
      </w:tr>
      <w:tr>
        <w:trPr>
          <w:cantSplit/>
          <w:tblHeader w:val="false"/>
        </w:trPr>
        <w:tc>
          <w:tcPr>
            <w:tcW w:type="dxa" w:w="18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IPC / CPC 추정</w:t>
            </w:r>
          </w:p>
        </w:tc>
        <w:tc>
          <w:tcPr>
            <w:tcW w:type="dxa" w:w="72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G06Q 40/08 (보험), G06Q 10/06 (자원·업무 관리), G06Q 10/10 (사무자동화·워크플로), G06Q 30/04 (청구·정산), G06V 30/41 (문서 이미지 분석), G06F 16/93 (문서 관리), G06Q 10/0631 (자원 할당)</w:t>
            </w:r>
          </w:p>
        </w:tc>
      </w:tr>
      <w:tr>
        <w:trPr>
          <w:cantSplit/>
          <w:tblHeader w:val="false"/>
        </w:trPr>
        <w:tc>
          <w:tcPr>
            <w:tcW w:type="dxa" w:w="18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조사 대상</w:t>
            </w:r>
          </w:p>
        </w:tc>
        <w:tc>
          <w:tcPr>
            <w:tcW w:type="dxa" w:w="72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KIPRIS, Google Patents, Espacenet. 특히 국내 손해보험사·보험개발원·AOS 관련 출원, 일본 손보사(東京海上·損保ジャパン) 출원, 미국 CCC Intelligent Solutions / Mitchell / Solera·Audatex 계열 출원을 중점 확인 권고</w:t>
            </w:r>
          </w:p>
        </w:tc>
      </w:tr>
    </w:tbl>
    <w:p>
      <w:pPr>
        <w:pStyle w:val="Heading2"/>
        <w:spacing w:after="120" w:before="280"/>
      </w:pPr>
      <w:r>
        <w:rPr>
          <w:rFonts w:ascii="맑은 고딕" w:cs="맑은 고딕" w:eastAsia="맑은 고딕" w:hAnsi="맑은 고딕"/>
          <w:b/>
          <w:bCs/>
          <w:color w:val="16337A"/>
          <w:sz w:val="23"/>
          <w:szCs w:val="23"/>
        </w:rPr>
        <w:t xml:space="preserve">7.5 출원 전략 제언</w:t>
      </w:r>
    </w:p>
    <w:p>
      <w:pPr>
        <w:pStyle w:val="ListParagraph"/>
        <w:numPr>
          <w:ilvl w:val="0"/>
          <w:numId w:val="2"/>
        </w:numPr>
        <w:spacing w:after="60" w:before="20" w:line="290"/>
      </w:pPr>
      <w:r>
        <w:rPr>
          <w:rFonts w:ascii="맑은 고딕" w:cs="맑은 고딕" w:eastAsia="맑은 고딕" w:hAnsi="맑은 고딕"/>
          <w:b w:val="false"/>
          <w:bCs w:val="false"/>
          <w:color w:val="1B2430"/>
          <w:sz w:val="20"/>
          <w:szCs w:val="20"/>
        </w:rPr>
        <w:t xml:space="preserve">우선 국내 출원 1건으로 제1군·제2군·제3군을 묶어 출원하고(처리 체인 전체를 포섭하는 상위 독립항 + 각 군의 병렬 독립항), 제4군(AI 심사)과 제5군(자동 배당)은 별도 출원으로 분리하는 것을 권고한다. 심사 과정에서 진보성 논거가 달라지므로 분리가 유리하다.</w:t>
      </w:r>
    </w:p>
    <w:p>
      <w:pPr>
        <w:pStyle w:val="ListParagraph"/>
        <w:numPr>
          <w:ilvl w:val="0"/>
          <w:numId w:val="2"/>
        </w:numPr>
        <w:spacing w:after="60" w:before="20" w:line="290"/>
      </w:pPr>
      <w:r>
        <w:rPr>
          <w:rFonts w:ascii="맑은 고딕" w:cs="맑은 고딕" w:eastAsia="맑은 고딕" w:hAnsi="맑은 고딕"/>
          <w:b w:val="false"/>
          <w:bCs w:val="false"/>
          <w:color w:val="1B2430"/>
          <w:sz w:val="20"/>
          <w:szCs w:val="20"/>
        </w:rPr>
        <w:t xml:space="preserve">출원 전 공개 금지. 현재 저장소가 공개(public) 상태라면 즉시 비공개 전환을 검토해야 한다. 이미 공개되었다면 공개일을 특정하여 공지예외 주장(§30, 공개 후 12개월 내)의 적용 가능 여부를 우선 확인해야 한다.</w:t>
      </w:r>
    </w:p>
    <w:p>
      <w:pPr>
        <w:pStyle w:val="ListParagraph"/>
        <w:numPr>
          <w:ilvl w:val="0"/>
          <w:numId w:val="2"/>
        </w:numPr>
        <w:spacing w:after="60" w:before="20" w:line="290"/>
      </w:pPr>
      <w:r>
        <w:rPr>
          <w:rFonts w:ascii="맑은 고딕" w:cs="맑은 고딕" w:eastAsia="맑은 고딕" w:hAnsi="맑은 고딕"/>
          <w:b w:val="false"/>
          <w:bCs w:val="false"/>
          <w:color w:val="1B2430"/>
          <w:sz w:val="20"/>
          <w:szCs w:val="20"/>
        </w:rPr>
        <w:t xml:space="preserve">실제 운영 데이터가 축적되면 ‘OCR 필드별 수정률에 기초한 인식 파라미터 자동 조정’, ‘담당자 확인부위와 청구부위의 차집합에 기초한 과다청구 스코어링’ 등 후속 발명이 도출 가능하다. 국내 출원일로부터 1년 내 국내우선권주장 출원으로 보강하는 일정을 권고한다.</w:t>
      </w:r>
    </w:p>
    <w:p>
      <w:pPr>
        <w:pStyle w:val="ListParagraph"/>
        <w:numPr>
          <w:ilvl w:val="0"/>
          <w:numId w:val="2"/>
        </w:numPr>
        <w:spacing w:after="60" w:before="20" w:line="290"/>
      </w:pPr>
      <w:r>
        <w:rPr>
          <w:rFonts w:ascii="맑은 고딕" w:cs="맑은 고딕" w:eastAsia="맑은 고딕" w:hAnsi="맑은 고딕"/>
          <w:b w:val="false"/>
          <w:bCs w:val="false"/>
          <w:color w:val="1B2430"/>
          <w:sz w:val="20"/>
          <w:szCs w:val="20"/>
        </w:rPr>
        <w:t xml:space="preserve">임계값·배점표·배제 순서 등 수치 파라미터는 청구항에서는 상위 개념으로 두고 명세서에만 개시하여, 경쟁사가 수치만 변경하여 회피하는 것을 방지한다. 다만 진보성 확보를 위해 종속항에 수치 한정항을 배치한다.</w:t>
      </w:r>
    </w:p>
    <w:p>
      <w:pPr>
        <w:pStyle w:val="ListParagraph"/>
        <w:numPr>
          <w:ilvl w:val="0"/>
          <w:numId w:val="2"/>
        </w:numPr>
        <w:spacing w:after="60" w:before="20" w:line="290"/>
      </w:pPr>
      <w:r>
        <w:rPr>
          <w:rFonts w:ascii="맑은 고딕" w:cs="맑은 고딕" w:eastAsia="맑은 고딕" w:hAnsi="맑은 고딕"/>
          <w:b w:val="false"/>
          <w:bCs w:val="false"/>
          <w:color w:val="1B2430"/>
          <w:sz w:val="20"/>
          <w:szCs w:val="20"/>
        </w:rPr>
        <w:t xml:space="preserve">특허 출원과 병행하여, 배점표 구성·임계값·업체 평가 기준 등 운영 노하우성 데이터는 영업비밀로 관리하는 이원 전략을 권고한다.</w:t>
      </w:r>
    </w:p>
    <w:p>
      <w:r>
        <w:br w:type="page"/>
      </w:r>
    </w:p>
    <w:p>
      <w:pPr>
        <w:pStyle w:val="Heading1"/>
        <w:pBdr>
          <w:bottom w:val="single" w:color="1D4ED8" w:sz="12" w:space="4"/>
        </w:pBdr>
        <w:spacing w:after="160" w:before="360"/>
      </w:pPr>
      <w:r>
        <w:rPr>
          <w:rFonts w:ascii="맑은 고딕" w:cs="맑은 고딕" w:eastAsia="맑은 고딕" w:hAnsi="맑은 고딕"/>
          <w:b/>
          <w:bCs/>
          <w:color w:val="1D4ED8"/>
          <w:sz w:val="28"/>
          <w:szCs w:val="28"/>
        </w:rPr>
        <w:t xml:space="preserve">Ⅷ. 부록 — 차별점별 구현 근거 매핑</w:t>
      </w:r>
    </w:p>
    <w:p>
      <w:pPr>
        <w:spacing w:after="100" w:before="40" w:line="300"/>
        <w:jc w:val="both"/>
      </w:pPr>
      <w:r>
        <w:rPr>
          <w:rFonts w:ascii="맑은 고딕" w:cs="맑은 고딕" w:eastAsia="맑은 고딕" w:hAnsi="맑은 고딕"/>
          <w:color w:val="1B2430"/>
          <w:sz w:val="20"/>
          <w:szCs w:val="20"/>
        </w:rPr>
        <w:t xml:space="preserve">변리사가 실제 구현 여부를 확인할 수 있도록, 각 차별점의 근거 소스를 표기한다. 경로는 저장소 claim-erp-split 기준이다.</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2600"/>
        <w:gridCol w:w="2620"/>
      </w:tblGrid>
      <w:tr>
        <w:trPr>
          <w:cantSplit/>
          <w:tblHeader/>
        </w:trPr>
        <w:tc>
          <w:tcPr>
            <w:tcW w:type="dxa" w:w="9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차별점</w:t>
            </w:r>
          </w:p>
        </w:tc>
        <w:tc>
          <w:tcPr>
            <w:tcW w:type="dxa" w:w="29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내용</w:t>
            </w:r>
          </w:p>
        </w:tc>
        <w:tc>
          <w:tcPr>
            <w:tcW w:type="dxa" w:w="26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주요 파일</w:t>
            </w:r>
          </w:p>
        </w:tc>
        <w:tc>
          <w:tcPr>
            <w:tcW w:type="dxa" w:w="26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핵심 식별자 / 함수</w:t>
            </w:r>
          </w:p>
        </w:tc>
      </w:tr>
      <w:tr>
        <w:trPr>
          <w:cantSplit/>
          <w:tblHeader w:val="false"/>
        </w:trPr>
        <w:tc>
          <w:tcPr>
            <w:tcW w:type="dxa" w:w="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1</w:t>
            </w:r>
          </w:p>
        </w:tc>
        <w:tc>
          <w:tcPr>
            <w:tcW w:type="dxa" w:w="2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2축 미결 분류</w:t>
            </w:r>
          </w:p>
        </w:tc>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claims.js, common.js</w:t>
            </w:r>
          </w:p>
        </w:tc>
        <w:tc>
          <w:tcPr>
            <w:tcW w:type="dxa" w:w="26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STAGE_CONFIG, TYPE_ORDER(11종), scopeClaims(), stageClaims(), typesForStage()</w:t>
            </w:r>
          </w:p>
        </w:tc>
      </w:tr>
      <w:tr>
        <w:trPr>
          <w:cantSplit/>
          <w:tblHeader w:val="false"/>
        </w:trPr>
        <w:tc>
          <w:tcPr>
            <w:tcW w:type="dxa" w:w="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2</w:t>
            </w:r>
          </w:p>
        </w:tc>
        <w:tc>
          <w:tcPr>
            <w:tcW w:type="dxa" w:w="2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무인처리·예외 정지</w:t>
            </w:r>
          </w:p>
        </w:tc>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smart-claims-demo.html</w:t>
            </w:r>
          </w:p>
        </w:tc>
        <w:tc>
          <w:tcPr>
            <w:tcW w:type="dxa" w:w="26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STAGES, FAILP, AUTO_PAY_LIMIT, evalStage(), tick(), failRow(), completeRow(), finish()</w:t>
            </w:r>
          </w:p>
        </w:tc>
      </w:tr>
      <w:tr>
        <w:trPr>
          <w:cantSplit/>
          <w:tblHeader w:val="false"/>
        </w:trPr>
        <w:tc>
          <w:tcPr>
            <w:tcW w:type="dxa" w:w="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3</w:t>
            </w:r>
          </w:p>
        </w:tc>
        <w:tc>
          <w:tcPr>
            <w:tcW w:type="dxa" w:w="2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OCR 원본 보존·차분 이력</w:t>
            </w:r>
          </w:p>
        </w:tc>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intake-ocr.js</w:t>
            </w:r>
          </w:p>
        </w:tc>
        <w:tc>
          <w:tcPr>
            <w:tcW w:type="dxa" w:w="26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ocrOriginal, OCR_FIELD_LABELS, diffOcrRows(), confirmOcrResolution()</w:t>
            </w:r>
          </w:p>
        </w:tc>
      </w:tr>
      <w:tr>
        <w:trPr>
          <w:cantSplit/>
          <w:tblHeader w:val="false"/>
        </w:trPr>
        <w:tc>
          <w:tcPr>
            <w:tcW w:type="dxa" w:w="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4</w:t>
            </w:r>
          </w:p>
        </w:tc>
        <w:tc>
          <w:tcPr>
            <w:tcW w:type="dxa" w:w="2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확정/저장 2단 스테이징</w:t>
            </w:r>
          </w:p>
        </w:tc>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intake-ocr.js</w:t>
            </w:r>
          </w:p>
        </w:tc>
        <w:tc>
          <w:tcPr>
            <w:tcW w:type="dxa" w:w="26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ocrSetStaged(), ocrGetStaged(), ocrClearStaged(), saveClaimResolutions()</w:t>
            </w:r>
          </w:p>
        </w:tc>
      </w:tr>
      <w:tr>
        <w:trPr>
          <w:cantSplit/>
          <w:tblHeader w:val="false"/>
        </w:trPr>
        <w:tc>
          <w:tcPr>
            <w:tcW w:type="dxa" w:w="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5</w:t>
            </w:r>
          </w:p>
        </w:tc>
        <w:tc>
          <w:tcPr>
            <w:tcW w:type="dxa" w:w="2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이원 채번·N:1 합산 결재</w:t>
            </w:r>
          </w:p>
        </w:tc>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common.js, intake.js</w:t>
            </w:r>
          </w:p>
        </w:tc>
        <w:tc>
          <w:tcPr>
            <w:tcW w:type="dxa" w:w="26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nextResolutionSeq(), nextApprovalSeq(), resolutionIds, includedResolutionSeqs, syncResolutionStatusFromApproval(), submitPayresApproval()</w:t>
            </w:r>
          </w:p>
        </w:tc>
      </w:tr>
      <w:tr>
        <w:trPr>
          <w:cantSplit/>
          <w:tblHeader w:val="false"/>
        </w:trPr>
        <w:tc>
          <w:tcPr>
            <w:tcW w:type="dxa" w:w="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6</w:t>
            </w:r>
          </w:p>
        </w:tc>
        <w:tc>
          <w:tcPr>
            <w:tcW w:type="dxa" w:w="2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과실률 확정상태 제어</w:t>
            </w:r>
          </w:p>
        </w:tc>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common.js, intake-ocr.js</w:t>
            </w:r>
          </w:p>
        </w:tc>
        <w:tc>
          <w:tcPr>
            <w:tcW w:type="dxa" w:w="26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parseFaultInfo(), recalcResolutionAmounts(), applyFaultRateChange(), faultRateAtConfirmed, faultRateAtReview</w:t>
            </w:r>
          </w:p>
        </w:tc>
      </w:tr>
      <w:tr>
        <w:trPr>
          <w:cantSplit/>
          <w:tblHeader w:val="false"/>
        </w:trPr>
        <w:tc>
          <w:tcPr>
            <w:tcW w:type="dxa" w:w="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7</w:t>
            </w:r>
          </w:p>
        </w:tc>
        <w:tc>
          <w:tcPr>
            <w:tcW w:type="dxa" w:w="2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AOS 스냅샷·재원 정산</w:t>
            </w:r>
          </w:p>
        </w:tc>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intake-aos.js, intake-ocr.js</w:t>
            </w:r>
          </w:p>
        </w:tc>
        <w:tc>
          <w:tcPr>
            <w:tcW w:type="dxa" w:w="26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aosMockSnapshot(), aosMechDerive(), aosPartsDerive(), aosAssessedTotal(), assessedSource</w:t>
            </w:r>
          </w:p>
        </w:tc>
      </w:tr>
      <w:tr>
        <w:trPr>
          <w:cantSplit/>
          <w:tblHeader w:val="false"/>
        </w:trPr>
        <w:tc>
          <w:tcPr>
            <w:tcW w:type="dxa" w:w="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8</w:t>
            </w:r>
          </w:p>
        </w:tc>
        <w:tc>
          <w:tcPr>
            <w:tcW w:type="dxa" w:w="2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AI 2단 판정·인정금액</w:t>
            </w:r>
          </w:p>
        </w:tc>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ai-dashboard.js</w:t>
            </w:r>
          </w:p>
        </w:tc>
        <w:tc>
          <w:tcPr>
            <w:tcW w:type="dxa" w:w="26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judgeByScore(), CRITERIA_APPROVAL, CRITERIA_ADJUST, forcedHold, SORT_RANK, amountAdjudication(), runReanalyze()</w:t>
            </w:r>
          </w:p>
        </w:tc>
      </w:tr>
      <w:tr>
        <w:trPr>
          <w:cantSplit/>
          <w:tblHeader w:val="false"/>
        </w:trPr>
        <w:tc>
          <w:tcPr>
            <w:tcW w:type="dxa" w:w="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9</w:t>
            </w:r>
          </w:p>
        </w:tc>
        <w:tc>
          <w:tcPr>
            <w:tcW w:type="dxa" w:w="2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순환배당 엔진</w:t>
            </w:r>
          </w:p>
        </w:tc>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assign.js</w:t>
            </w:r>
          </w:p>
        </w:tc>
        <w:tc>
          <w:tcPr>
            <w:tcW w:type="dxa" w:w="26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assignExcludeReason(), assignGroupMatch(), assignGroupTier(), assignOrderCandidates(), getAssignmentResult(), assignAbsentAt()</w:t>
            </w:r>
          </w:p>
        </w:tc>
      </w:tr>
      <w:tr>
        <w:trPr>
          <w:cantSplit/>
          <w:tblHeader w:val="false"/>
        </w:trPr>
        <w:tc>
          <w:tcPr>
            <w:tcW w:type="dxa" w:w="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10</w:t>
            </w:r>
          </w:p>
        </w:tc>
        <w:tc>
          <w:tcPr>
            <w:tcW w:type="dxa" w:w="2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종결 게이팅</w:t>
            </w:r>
          </w:p>
        </w:tc>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intake.js</w:t>
            </w:r>
          </w:p>
        </w:tc>
        <w:tc>
          <w:tcPr>
            <w:tcW w:type="dxa" w:w="26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intakeSavedTabs, intakeSavedTabsOf(), allowClose, intakeCloseType</w:t>
            </w:r>
          </w:p>
        </w:tc>
      </w:tr>
      <w:tr>
        <w:trPr>
          <w:cantSplit/>
          <w:tblHeader w:val="false"/>
        </w:trPr>
        <w:tc>
          <w:tcPr>
            <w:tcW w:type="dxa" w:w="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11</w:t>
            </w:r>
          </w:p>
        </w:tc>
        <w:tc>
          <w:tcPr>
            <w:tcW w:type="dxa" w:w="2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파손부위 이중 대조</w:t>
            </w:r>
          </w:p>
        </w:tc>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intake.js</w:t>
            </w:r>
          </w:p>
        </w:tc>
        <w:tc>
          <w:tcPr>
            <w:tcW w:type="dxa" w:w="26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PART_LIST(24종), dmgPartsHtml(), intakeStaffParts, repairApprovedSent</w:t>
            </w:r>
          </w:p>
        </w:tc>
      </w:tr>
      <w:tr>
        <w:trPr>
          <w:cantSplit/>
          <w:tblHeader w:val="false"/>
        </w:trPr>
        <w:tc>
          <w:tcPr>
            <w:tcW w:type="dxa" w:w="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12-a</w:t>
            </w:r>
          </w:p>
        </w:tc>
        <w:tc>
          <w:tcPr>
            <w:tcW w:type="dxa" w:w="2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결의 상태 권한 매트릭스</w:t>
            </w:r>
          </w:p>
        </w:tc>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common.js, intake.js</w:t>
            </w:r>
          </w:p>
        </w:tc>
        <w:tc>
          <w:tcPr>
            <w:tcW w:type="dxa" w:w="26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RESOLUTION_PERMS, resolutionCan(), payresEditSelected(), payresDeleteSelected()</w:t>
            </w:r>
          </w:p>
        </w:tc>
      </w:tr>
      <w:tr>
        <w:trPr>
          <w:cantSplit/>
          <w:tblHeader w:val="false"/>
        </w:trPr>
        <w:tc>
          <w:tcPr>
            <w:tcW w:type="dxa" w:w="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12-b</w:t>
            </w:r>
          </w:p>
        </w:tc>
        <w:tc>
          <w:tcPr>
            <w:tcW w:type="dxa" w:w="2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지급성 결재 인증</w:t>
            </w:r>
          </w:p>
        </w:tc>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common.js, closing.js</w:t>
            </w:r>
          </w:p>
        </w:tc>
        <w:tc>
          <w:tcPr>
            <w:tcW w:type="dxa" w:w="26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APPR_PAY_TYPES, apprIsPayType(), APPR_PASSWORD</w:t>
            </w:r>
          </w:p>
        </w:tc>
      </w:tr>
      <w:tr>
        <w:trPr>
          <w:cantSplit/>
          <w:tblHeader w:val="false"/>
        </w:trPr>
        <w:tc>
          <w:tcPr>
            <w:tcW w:type="dxa" w:w="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12-c</w:t>
            </w:r>
          </w:p>
        </w:tc>
        <w:tc>
          <w:tcPr>
            <w:tcW w:type="dxa" w:w="2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품의서 렌더링</w:t>
            </w:r>
          </w:p>
        </w:tc>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closing.js, common.js</w:t>
            </w:r>
          </w:p>
        </w:tc>
        <w:tc>
          <w:tcPr>
            <w:tcW w:type="dxa" w:w="26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apprBuildCoreInfo(), APPR_CORE_SECTIONS(7군)</w:t>
            </w:r>
          </w:p>
        </w:tc>
      </w:tr>
      <w:tr>
        <w:trPr>
          <w:cantSplit/>
          <w:tblHeader w:val="false"/>
        </w:trPr>
        <w:tc>
          <w:tcPr>
            <w:tcW w:type="dxa" w:w="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12-d</w:t>
            </w:r>
          </w:p>
        </w:tc>
        <w:tc>
          <w:tcPr>
            <w:tcW w:type="dxa" w:w="2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동적 평가폼·표본 쿼터</w:t>
            </w:r>
          </w:p>
        </w:tc>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vendor-eval.js</w:t>
            </w:r>
          </w:p>
        </w:tc>
        <w:tc>
          <w:tcPr>
            <w:tcW w:type="dxa" w:w="26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SEED_ITEMS(마스터), SEED_OPTIONS, SEED_QUOTA(ratioPct/totalCount/doneCount)</w:t>
            </w:r>
          </w:p>
        </w:tc>
      </w:tr>
      <w:tr>
        <w:trPr>
          <w:cantSplit/>
          <w:tblHeader w:val="false"/>
        </w:trPr>
        <w:tc>
          <w:tcPr>
            <w:tcW w:type="dxa" w:w="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12-e</w:t>
            </w:r>
          </w:p>
        </w:tc>
        <w:tc>
          <w:tcPr>
            <w:tcW w:type="dxa" w:w="2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보안링크 발송</w:t>
            </w:r>
          </w:p>
        </w:tc>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common.js</w:t>
            </w:r>
          </w:p>
        </w:tc>
        <w:tc>
          <w:tcPr>
            <w:tcW w:type="dxa" w:w="26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openImageSendModal(), sendImages(), 열람 만료·1회 인증</w:t>
            </w:r>
          </w:p>
        </w:tc>
      </w:tr>
      <w:tr>
        <w:trPr>
          <w:cantSplit/>
          <w:tblHeader w:val="false"/>
        </w:trPr>
        <w:tc>
          <w:tcPr>
            <w:tcW w:type="dxa" w:w="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12-f</w:t>
            </w:r>
          </w:p>
        </w:tc>
        <w:tc>
          <w:tcPr>
            <w:tcW w:type="dxa" w:w="2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템플릿 변수 치환</w:t>
            </w:r>
          </w:p>
        </w:tc>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message.js</w:t>
            </w:r>
          </w:p>
        </w:tc>
        <w:tc>
          <w:tcPr>
            <w:tcW w:type="dxa" w:w="26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REP_TEMPLATES, STD_SEED, PTPL_SEED, varsIn(), applyVars(), SENDER_REGISTRY</w:t>
            </w:r>
          </w:p>
        </w:tc>
      </w:tr>
      <w:tr>
        <w:trPr>
          <w:cantSplit/>
          <w:tblHeader w:val="false"/>
        </w:trPr>
        <w:tc>
          <w:tcPr>
            <w:tcW w:type="dxa" w:w="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12-g</w:t>
            </w:r>
          </w:p>
        </w:tc>
        <w:tc>
          <w:tcPr>
            <w:tcW w:type="dxa" w:w="29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동일 차량 다건 접수</w:t>
            </w:r>
          </w:p>
        </w:tc>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intake.js</w:t>
            </w:r>
          </w:p>
        </w:tc>
        <w:tc>
          <w:tcPr>
            <w:tcW w:type="dxa" w:w="26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INTAKE_QUERY_TYPES(8종), intakeResults, seedIntakeSiblings()</w:t>
            </w:r>
          </w:p>
        </w:tc>
      </w:tr>
    </w:tbl>
    <w:p>
      <w:pPr>
        <w:pStyle w:val="Heading2"/>
        <w:spacing w:after="120" w:before="280"/>
      </w:pPr>
      <w:r>
        <w:rPr>
          <w:rFonts w:ascii="맑은 고딕" w:cs="맑은 고딕" w:eastAsia="맑은 고딕" w:hAnsi="맑은 고딕"/>
          <w:b/>
          <w:bCs/>
          <w:color w:val="16337A"/>
          <w:sz w:val="23"/>
          <w:szCs w:val="23"/>
        </w:rPr>
        <w:t xml:space="preserve">설계문서 참조</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cantSplit/>
          <w:tblHeader/>
        </w:trPr>
        <w:tc>
          <w:tcPr>
            <w:tcW w:type="dxa" w:w="260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문서</w:t>
            </w:r>
          </w:p>
        </w:tc>
        <w:tc>
          <w:tcPr>
            <w:tcW w:type="dxa" w:w="6420"/>
            <w:tcBorders>
              <w:top w:val="single" w:color="C9D3E4" w:sz="4"/>
              <w:left w:val="single" w:color="C9D3E4" w:sz="4"/>
              <w:bottom w:val="single" w:color="C9D3E4" w:sz="4"/>
              <w:right w:val="single" w:color="C9D3E4" w:sz="4"/>
            </w:tcBorders>
            <w:shd w:fill="E4ECFA" w:color="auto" w:val="clear"/>
            <w:tcMar>
              <w:top w:type="dxa" w:w="70"/>
              <w:left w:type="dxa" w:w="110"/>
              <w:bottom w:type="dxa" w:w="70"/>
              <w:right w:type="dxa" w:w="110"/>
            </w:tcMar>
            <w:vAlign w:val="center"/>
          </w:tcPr>
          <w:p>
            <w:pPr>
              <w:spacing w:after="40" w:before="40" w:line="270"/>
              <w:jc w:val="center"/>
            </w:pPr>
            <w:r>
              <w:rPr>
                <w:rFonts w:ascii="맑은 고딕" w:cs="맑은 고딕" w:eastAsia="맑은 고딕" w:hAnsi="맑은 고딕"/>
                <w:b/>
                <w:bCs/>
                <w:color w:val="1B2430"/>
                <w:sz w:val="17"/>
                <w:szCs w:val="17"/>
              </w:rPr>
              <w:t xml:space="preserve">수록 내용</w:t>
            </w:r>
          </w:p>
        </w:tc>
      </w:tr>
      <w:tr>
        <w:trPr>
          <w:cantSplit/>
          <w:tblHeader w:val="false"/>
        </w:trPr>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plan.md</w:t>
            </w:r>
          </w:p>
        </w:tc>
        <w:tc>
          <w:tcPr>
            <w:tcW w:type="dxa" w:w="64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AI-OCR 부품청구서·지급결의·결재 설계 전문(번호체계, 금액식, 과실률 제어, 상태 권한 매트릭스, 데이터 구조, 예외 메시지)</w:t>
            </w:r>
          </w:p>
        </w:tc>
      </w:tr>
      <w:tr>
        <w:trPr>
          <w:cantSplit/>
          <w:tblHeader w:val="false"/>
        </w:trPr>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plan-전결권한-순환배당관리.md</w:t>
            </w:r>
          </w:p>
        </w:tc>
        <w:tc>
          <w:tcPr>
            <w:tcW w:type="dxa" w:w="64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순환배당 판정 로직, 배제 사유 순서, tier 우선순위, 시뮬레이션 설계, 테스트 시나리오 15종</w:t>
            </w:r>
          </w:p>
        </w:tc>
      </w:tr>
      <w:tr>
        <w:trPr>
          <w:cantSplit/>
          <w:tblHeader w:val="false"/>
        </w:trPr>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plan-결재LIST.md</w:t>
            </w:r>
          </w:p>
        </w:tc>
        <w:tc>
          <w:tcPr>
            <w:tcW w:type="dxa" w:w="64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Speed결재 패널, 결재 5종·상태 3종, 품의서 7정보군(IF 연동항목 기반), 결재이력 구조</w:t>
            </w:r>
          </w:p>
        </w:tc>
      </w:tr>
      <w:tr>
        <w:trPr>
          <w:cantSplit/>
          <w:tblHeader w:val="false"/>
        </w:trPr>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docs/01-plan, 02-design, 03-analysis, 04-report</w:t>
            </w:r>
          </w:p>
        </w:tc>
        <w:tc>
          <w:tcPr>
            <w:tcW w:type="dxa" w:w="64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기능별 PDCA 문서 (SK렌탈 Claim Flow 관리, 이미지시스템)</w:t>
            </w:r>
          </w:p>
        </w:tc>
      </w:tr>
      <w:tr>
        <w:trPr>
          <w:cantSplit/>
          <w:tblHeader w:val="false"/>
        </w:trPr>
        <w:tc>
          <w:tcPr>
            <w:tcW w:type="dxa" w:w="260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DESIGN.md</w:t>
            </w:r>
          </w:p>
        </w:tc>
        <w:tc>
          <w:tcPr>
            <w:tcW w:type="dxa" w:w="6420"/>
            <w:tcBorders>
              <w:top w:val="single" w:color="C9D3E4" w:sz="4"/>
              <w:left w:val="single" w:color="C9D3E4" w:sz="4"/>
              <w:bottom w:val="single" w:color="C9D3E4" w:sz="4"/>
              <w:right w:val="single" w:color="C9D3E4" w:sz="4"/>
            </w:tcBorders>
            <w:tcMar>
              <w:top w:type="dxa" w:w="70"/>
              <w:left w:type="dxa" w:w="110"/>
              <w:bottom w:type="dxa" w:w="70"/>
              <w:right w:type="dxa" w:w="110"/>
            </w:tcMar>
            <w:vAlign w:val="center"/>
          </w:tcPr>
          <w:p>
            <w:pPr>
              <w:spacing w:after="40" w:before="40" w:line="270"/>
              <w:jc w:val="left"/>
            </w:pPr>
            <w:r>
              <w:rPr>
                <w:rFonts w:ascii="맑은 고딕" w:cs="맑은 고딕" w:eastAsia="맑은 고딕" w:hAnsi="맑은 고딕"/>
                <w:b w:val="false"/>
                <w:bCs w:val="false"/>
                <w:color w:val="1B2430"/>
                <w:sz w:val="17"/>
                <w:szCs w:val="17"/>
              </w:rPr>
              <w:t xml:space="preserve">디자인 토큰·컴포넌트 규격 (특허성과는 무관, 의장 검토 시 참고)</w:t>
            </w:r>
          </w:p>
        </w:tc>
      </w:tr>
    </w:tbl>
    <w:p>
      <w:pPr>
        <w:spacing w:after="240" w:before="0"/>
      </w:pPr>
      <w:r>
        <w:rPr>
          <w:rFonts w:ascii="맑은 고딕" w:cs="맑은 고딕" w:eastAsia="맑은 고딕" w:hAnsi="맑은 고딕"/>
          <w:sz w:val="12"/>
          <w:szCs w:val="12"/>
        </w:rPr>
        <w:t xml:space="preserve"/>
      </w:r>
    </w:p>
    <w:p>
      <w:pPr>
        <w:spacing w:after="100" w:before="40" w:line="300"/>
        <w:jc w:val="center"/>
      </w:pPr>
      <w:r>
        <w:rPr>
          <w:rFonts w:ascii="맑은 고딕" w:cs="맑은 고딕" w:eastAsia="맑은 고딕" w:hAnsi="맑은 고딕"/>
          <w:b/>
          <w:bCs/>
          <w:color w:val="1B2430"/>
          <w:sz w:val="20"/>
          <w:szCs w:val="20"/>
        </w:rPr>
        <w:t xml:space="preserve">— 이 상 —</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4" w:sz="4" w:space="6"/>
      </w:pBdr>
      <w:spacing w:before="100"/>
      <w:jc w:val="center"/>
    </w:pPr>
    <w:r>
      <w:rPr>
        <w:rFonts w:ascii="맑은 고딕" w:cs="맑은 고딕" w:eastAsia="맑은 고딕" w:hAnsi="맑은 고딕"/>
        <w:color w:val="8A94A6"/>
        <w:sz w:val="16"/>
        <w:szCs w:val="16"/>
      </w:rPr>
      <w:t xml:space="preserve">클레임 ERP 특허 출원 검토 자료   ·   </w:t>
    </w:r>
    <w:r>
      <w:rPr>
        <w:rFonts w:ascii="맑은 고딕" w:cs="맑은 고딕" w:eastAsia="맑은 고딕" w:hAnsi="맑은 고딕"/>
        <w:color w:val="8A94A6"/>
        <w:sz w:val="16"/>
        <w:szCs w:val="16"/>
      </w:rPr>
      <w:fldChar w:fldCharType="begin"/>
      <w:instrText xml:space="preserve">PAGE</w:instrText>
      <w:fldChar w:fldCharType="separate"/>
      <w:fldChar w:fldCharType="end"/>
    </w:r>
    <w:r>
      <w:rPr>
        <w:rFonts w:ascii="맑은 고딕" w:cs="맑은 고딕" w:eastAsia="맑은 고딕" w:hAnsi="맑은 고딕"/>
        <w:color w:val="8A94A6"/>
        <w:sz w:val="16"/>
        <w:szCs w:val="16"/>
      </w:rPr>
      <w:t xml:space="preserve"> / </w:t>
    </w:r>
    <w:r>
      <w:rPr>
        <w:rFonts w:ascii="맑은 고딕" w:cs="맑은 고딕" w:eastAsia="맑은 고딕" w:hAnsi="맑은 고딕"/>
        <w:color w:val="8A94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B24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맑은 고딕" w:cs="맑은 고딕" w:eastAsia="맑은 고딕" w:hAnsi="맑은 고딕"/>
    </w:rPr>
  </w:style>
  <w:style w:type="paragraph" w:styleId="Heading2">
    <w:name w:val="Heading 2"/>
    <w:basedOn w:val="Normal"/>
    <w:next w:val="Normal"/>
    <w:qFormat/>
    <w:rPr>
      <w:rFonts w:ascii="맑은 고딕" w:cs="맑은 고딕" w:eastAsia="맑은 고딕" w:hAnsi="맑은 고딕"/>
    </w:rPr>
  </w:style>
  <w:style w:type="paragraph" w:styleId="Heading3">
    <w:name w:val="Heading 3"/>
    <w:basedOn w:val="Normal"/>
    <w:next w:val="Normal"/>
    <w:qFormat/>
    <w:rPr>
      <w:rFonts w:ascii="맑은 고딕" w:cs="맑은 고딕" w:eastAsia="맑은 고딕" w:hAnsi="맑은 고딕"/>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클레임 ERP 특허 출원 검토 자료</dc:title>
  <dc:creator>Claim ERP</dc:creator>
  <dc:description>차량 클레임 처리 통합관리 시스템의 기술적 차별성 정리</dc:description>
  <cp:lastModifiedBy>Un-named</cp:lastModifiedBy>
  <cp:revision>1</cp:revision>
  <dcterms:created xsi:type="dcterms:W3CDTF">2026-09-15T07:02:31.698Z</dcterms:created>
  <dcterms:modified xsi:type="dcterms:W3CDTF">2026-09-15T07:02:31.708Z</dcterms:modified>
</cp:coreProperties>
</file>

<file path=docProps/custom.xml><?xml version="1.0" encoding="utf-8"?>
<Properties xmlns="http://schemas.openxmlformats.org/officeDocument/2006/custom-properties" xmlns:vt="http://schemas.openxmlformats.org/officeDocument/2006/docPropsVTypes"/>
</file>