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10"/>
        <w:gridCol w:w="1761"/>
        <w:gridCol w:w="1462"/>
        <w:gridCol w:w="845"/>
        <w:gridCol w:w="1546"/>
        <w:gridCol w:w="2920"/>
      </w:tblGrid>
      <w:tr w:rsidR="00F42431" w:rsidRPr="00F42431" w14:paraId="04355329" w14:textId="77777777">
        <w:trPr>
          <w:trHeight w:val="300"/>
        </w:trPr>
        <w:tc>
          <w:tcPr>
            <w:tcW w:w="1005" w:type="dxa"/>
            <w:tcBorders>
              <w:top w:val="single" w:sz="6" w:space="0" w:color="AAB4C4"/>
              <w:left w:val="single" w:sz="6" w:space="0" w:color="AAB4C4"/>
              <w:bottom w:val="single" w:sz="6" w:space="0" w:color="C9D2DE"/>
              <w:right w:val="single" w:sz="6" w:space="0" w:color="C9D2DE"/>
            </w:tcBorders>
            <w:shd w:val="clear" w:color="auto" w:fill="1F3864"/>
            <w:hideMark/>
          </w:tcPr>
          <w:p w14:paraId="6664C5EE" w14:textId="77777777" w:rsidR="00F42431" w:rsidRPr="00F42431" w:rsidRDefault="00F42431" w:rsidP="00F42431">
            <w:pPr>
              <w:spacing w:after="0" w:line="240" w:lineRule="auto"/>
              <w:textAlignment w:val="baseline"/>
              <w:rPr>
                <w:rFonts w:ascii="Segoe UI" w:eastAsia="Times New Roman" w:hAnsi="Segoe UI" w:cs="Segoe UI"/>
                <w:color w:val="F5F5F5"/>
                <w:kern w:val="0"/>
                <w:sz w:val="18"/>
                <w:szCs w:val="18"/>
                <w14:ligatures w14:val="none"/>
              </w:rPr>
            </w:pPr>
            <w:r w:rsidRPr="00F42431">
              <w:rPr>
                <w:rFonts w:ascii="Calibri" w:eastAsia="Times New Roman" w:hAnsi="Calibri" w:cs="Calibri"/>
                <w:b/>
                <w:bCs/>
                <w:color w:val="FFFFFF"/>
                <w:kern w:val="0"/>
                <w:sz w:val="18"/>
                <w:szCs w:val="18"/>
                <w14:ligatures w14:val="none"/>
              </w:rPr>
              <w:t>Country Team / TTL</w:t>
            </w:r>
            <w:r w:rsidRPr="00F42431">
              <w:rPr>
                <w:rFonts w:ascii="Calibri" w:eastAsia="Times New Roman" w:hAnsi="Calibri" w:cs="Calibri"/>
                <w:color w:val="FFFFFF"/>
                <w:kern w:val="0"/>
                <w:sz w:val="18"/>
                <w:szCs w:val="18"/>
                <w14:ligatures w14:val="none"/>
              </w:rPr>
              <w:t> </w:t>
            </w:r>
          </w:p>
        </w:tc>
        <w:tc>
          <w:tcPr>
            <w:tcW w:w="1395" w:type="dxa"/>
            <w:tcBorders>
              <w:top w:val="single" w:sz="6" w:space="0" w:color="AAB4C4"/>
              <w:left w:val="single" w:sz="6" w:space="0" w:color="C9D2DE"/>
              <w:bottom w:val="single" w:sz="6" w:space="0" w:color="C9D2DE"/>
              <w:right w:val="single" w:sz="6" w:space="0" w:color="C9D2DE"/>
            </w:tcBorders>
            <w:shd w:val="clear" w:color="auto" w:fill="1F3864"/>
            <w:hideMark/>
          </w:tcPr>
          <w:p w14:paraId="430A1E37" w14:textId="77777777" w:rsidR="00F42431" w:rsidRPr="00F42431" w:rsidRDefault="00F42431" w:rsidP="00F42431">
            <w:pPr>
              <w:spacing w:after="0" w:line="240" w:lineRule="auto"/>
              <w:textAlignment w:val="baseline"/>
              <w:rPr>
                <w:rFonts w:ascii="Segoe UI" w:eastAsia="Times New Roman" w:hAnsi="Segoe UI" w:cs="Segoe UI"/>
                <w:color w:val="F5F5F5"/>
                <w:kern w:val="0"/>
                <w:sz w:val="18"/>
                <w:szCs w:val="18"/>
                <w14:ligatures w14:val="none"/>
              </w:rPr>
            </w:pPr>
            <w:r w:rsidRPr="00F42431">
              <w:rPr>
                <w:rFonts w:ascii="Calibri" w:eastAsia="Times New Roman" w:hAnsi="Calibri" w:cs="Calibri"/>
                <w:b/>
                <w:bCs/>
                <w:color w:val="FFFFFF"/>
                <w:kern w:val="0"/>
                <w:sz w:val="18"/>
                <w:szCs w:val="18"/>
                <w14:ligatures w14:val="none"/>
              </w:rPr>
              <w:t>Project title / use case</w:t>
            </w:r>
            <w:r w:rsidRPr="00F42431">
              <w:rPr>
                <w:rFonts w:ascii="Calibri" w:eastAsia="Times New Roman" w:hAnsi="Calibri" w:cs="Calibri"/>
                <w:color w:val="FFFFFF"/>
                <w:kern w:val="0"/>
                <w:sz w:val="18"/>
                <w:szCs w:val="18"/>
                <w14:ligatures w14:val="none"/>
              </w:rPr>
              <w:t> </w:t>
            </w:r>
          </w:p>
        </w:tc>
        <w:tc>
          <w:tcPr>
            <w:tcW w:w="1530" w:type="dxa"/>
            <w:tcBorders>
              <w:top w:val="single" w:sz="6" w:space="0" w:color="AAB4C4"/>
              <w:left w:val="single" w:sz="6" w:space="0" w:color="C9D2DE"/>
              <w:bottom w:val="single" w:sz="6" w:space="0" w:color="C9D2DE"/>
              <w:right w:val="single" w:sz="6" w:space="0" w:color="C9D2DE"/>
            </w:tcBorders>
            <w:shd w:val="clear" w:color="auto" w:fill="1F3864"/>
            <w:hideMark/>
          </w:tcPr>
          <w:p w14:paraId="76360D40" w14:textId="77777777" w:rsidR="00F42431" w:rsidRPr="00F42431" w:rsidRDefault="00F42431" w:rsidP="00F42431">
            <w:pPr>
              <w:spacing w:after="0" w:line="240" w:lineRule="auto"/>
              <w:textAlignment w:val="baseline"/>
              <w:rPr>
                <w:rFonts w:ascii="Segoe UI" w:eastAsia="Times New Roman" w:hAnsi="Segoe UI" w:cs="Segoe UI"/>
                <w:color w:val="F5F5F5"/>
                <w:kern w:val="0"/>
                <w:sz w:val="18"/>
                <w:szCs w:val="18"/>
                <w14:ligatures w14:val="none"/>
              </w:rPr>
            </w:pPr>
            <w:r w:rsidRPr="00F42431">
              <w:rPr>
                <w:rFonts w:ascii="Calibri" w:eastAsia="Times New Roman" w:hAnsi="Calibri" w:cs="Calibri"/>
                <w:b/>
                <w:bCs/>
                <w:color w:val="FFFFFF"/>
                <w:kern w:val="0"/>
                <w:sz w:val="18"/>
                <w:szCs w:val="18"/>
                <w14:ligatures w14:val="none"/>
              </w:rPr>
              <w:t>MOU status</w:t>
            </w:r>
            <w:r w:rsidRPr="00F42431">
              <w:rPr>
                <w:rFonts w:ascii="Calibri" w:eastAsia="Times New Roman" w:hAnsi="Calibri" w:cs="Calibri"/>
                <w:color w:val="FFFFFF"/>
                <w:kern w:val="0"/>
                <w:sz w:val="18"/>
                <w:szCs w:val="18"/>
                <w14:ligatures w14:val="none"/>
              </w:rPr>
              <w:t> </w:t>
            </w:r>
          </w:p>
        </w:tc>
        <w:tc>
          <w:tcPr>
            <w:tcW w:w="1035" w:type="dxa"/>
            <w:tcBorders>
              <w:top w:val="single" w:sz="6" w:space="0" w:color="AAB4C4"/>
              <w:left w:val="single" w:sz="6" w:space="0" w:color="C9D2DE"/>
              <w:bottom w:val="single" w:sz="6" w:space="0" w:color="C9D2DE"/>
              <w:right w:val="single" w:sz="6" w:space="0" w:color="C9D2DE"/>
            </w:tcBorders>
            <w:shd w:val="clear" w:color="auto" w:fill="1F3864"/>
            <w:hideMark/>
          </w:tcPr>
          <w:p w14:paraId="12A75853" w14:textId="77777777" w:rsidR="00F42431" w:rsidRPr="00F42431" w:rsidRDefault="00F42431" w:rsidP="00F42431">
            <w:pPr>
              <w:spacing w:after="0" w:line="240" w:lineRule="auto"/>
              <w:textAlignment w:val="baseline"/>
              <w:rPr>
                <w:rFonts w:ascii="Segoe UI" w:eastAsia="Times New Roman" w:hAnsi="Segoe UI" w:cs="Segoe UI"/>
                <w:color w:val="F5F5F5"/>
                <w:kern w:val="0"/>
                <w:sz w:val="18"/>
                <w:szCs w:val="18"/>
                <w14:ligatures w14:val="none"/>
              </w:rPr>
            </w:pPr>
            <w:r w:rsidRPr="00F42431">
              <w:rPr>
                <w:rFonts w:ascii="Calibri" w:eastAsia="Times New Roman" w:hAnsi="Calibri" w:cs="Calibri"/>
                <w:b/>
                <w:bCs/>
                <w:color w:val="FFFFFF"/>
                <w:kern w:val="0"/>
                <w:sz w:val="18"/>
                <w:szCs w:val="18"/>
                <w14:ligatures w14:val="none"/>
              </w:rPr>
              <w:t>Maturity</w:t>
            </w:r>
            <w:r w:rsidRPr="00F42431">
              <w:rPr>
                <w:rFonts w:ascii="Calibri" w:eastAsia="Times New Roman" w:hAnsi="Calibri" w:cs="Calibri"/>
                <w:color w:val="FFFFFF"/>
                <w:kern w:val="0"/>
                <w:sz w:val="18"/>
                <w:szCs w:val="18"/>
                <w14:ligatures w14:val="none"/>
              </w:rPr>
              <w:t> </w:t>
            </w:r>
          </w:p>
        </w:tc>
        <w:tc>
          <w:tcPr>
            <w:tcW w:w="1020" w:type="dxa"/>
            <w:tcBorders>
              <w:top w:val="single" w:sz="6" w:space="0" w:color="AAB4C4"/>
              <w:left w:val="single" w:sz="6" w:space="0" w:color="C9D2DE"/>
              <w:bottom w:val="single" w:sz="6" w:space="0" w:color="C9D2DE"/>
              <w:right w:val="single" w:sz="6" w:space="0" w:color="C9D2DE"/>
            </w:tcBorders>
            <w:shd w:val="clear" w:color="auto" w:fill="1F3864"/>
            <w:hideMark/>
          </w:tcPr>
          <w:p w14:paraId="38F4163C" w14:textId="77777777" w:rsidR="00F42431" w:rsidRPr="00F42431" w:rsidRDefault="00F42431" w:rsidP="00F42431">
            <w:pPr>
              <w:spacing w:after="0" w:line="240" w:lineRule="auto"/>
              <w:textAlignment w:val="baseline"/>
              <w:rPr>
                <w:rFonts w:ascii="Segoe UI" w:eastAsia="Times New Roman" w:hAnsi="Segoe UI" w:cs="Segoe UI"/>
                <w:color w:val="F5F5F5"/>
                <w:kern w:val="0"/>
                <w:sz w:val="18"/>
                <w:szCs w:val="18"/>
                <w14:ligatures w14:val="none"/>
              </w:rPr>
            </w:pPr>
            <w:r w:rsidRPr="00F42431">
              <w:rPr>
                <w:rFonts w:ascii="Calibri" w:eastAsia="Times New Roman" w:hAnsi="Calibri" w:cs="Calibri"/>
                <w:b/>
                <w:bCs/>
                <w:color w:val="FFFFFF"/>
                <w:kern w:val="0"/>
                <w:sz w:val="18"/>
                <w:szCs w:val="18"/>
                <w14:ligatures w14:val="none"/>
              </w:rPr>
              <w:t>Top-up (Y/N)</w:t>
            </w:r>
            <w:r w:rsidRPr="00F42431">
              <w:rPr>
                <w:rFonts w:ascii="Calibri" w:eastAsia="Times New Roman" w:hAnsi="Calibri" w:cs="Calibri"/>
                <w:color w:val="FFFFFF"/>
                <w:kern w:val="0"/>
                <w:sz w:val="18"/>
                <w:szCs w:val="18"/>
                <w14:ligatures w14:val="none"/>
              </w:rPr>
              <w:t> </w:t>
            </w:r>
          </w:p>
        </w:tc>
        <w:tc>
          <w:tcPr>
            <w:tcW w:w="4185" w:type="dxa"/>
            <w:tcBorders>
              <w:top w:val="single" w:sz="6" w:space="0" w:color="AAB4C4"/>
              <w:left w:val="single" w:sz="6" w:space="0" w:color="C9D2DE"/>
              <w:bottom w:val="single" w:sz="6" w:space="0" w:color="C9D2DE"/>
              <w:right w:val="single" w:sz="6" w:space="0" w:color="AAB4C4"/>
            </w:tcBorders>
            <w:shd w:val="clear" w:color="auto" w:fill="1F3864"/>
            <w:hideMark/>
          </w:tcPr>
          <w:p w14:paraId="0705CA7A" w14:textId="77777777" w:rsidR="00F42431" w:rsidRPr="00F42431" w:rsidRDefault="00F42431" w:rsidP="00F42431">
            <w:pPr>
              <w:spacing w:after="0" w:line="240" w:lineRule="auto"/>
              <w:textAlignment w:val="baseline"/>
              <w:rPr>
                <w:rFonts w:ascii="Segoe UI" w:eastAsia="Times New Roman" w:hAnsi="Segoe UI" w:cs="Segoe UI"/>
                <w:color w:val="F5F5F5"/>
                <w:kern w:val="0"/>
                <w:sz w:val="18"/>
                <w:szCs w:val="18"/>
                <w14:ligatures w14:val="none"/>
              </w:rPr>
            </w:pPr>
            <w:r w:rsidRPr="00F42431">
              <w:rPr>
                <w:rFonts w:ascii="Calibri" w:eastAsia="Times New Roman" w:hAnsi="Calibri" w:cs="Calibri"/>
                <w:b/>
                <w:bCs/>
                <w:color w:val="FFFFFF"/>
                <w:kern w:val="0"/>
                <w:sz w:val="18"/>
                <w:szCs w:val="18"/>
                <w14:ligatures w14:val="none"/>
              </w:rPr>
              <w:t>Notes</w:t>
            </w:r>
            <w:r w:rsidRPr="00F42431">
              <w:rPr>
                <w:rFonts w:ascii="Calibri" w:eastAsia="Times New Roman" w:hAnsi="Calibri" w:cs="Calibri"/>
                <w:color w:val="FFFFFF"/>
                <w:kern w:val="0"/>
                <w:sz w:val="18"/>
                <w:szCs w:val="18"/>
                <w14:ligatures w14:val="none"/>
              </w:rPr>
              <w:t> </w:t>
            </w:r>
          </w:p>
        </w:tc>
      </w:tr>
      <w:tr w:rsidR="00F42431" w:rsidRPr="00F42431" w14:paraId="54B6D5C7" w14:textId="77777777">
        <w:trPr>
          <w:trHeight w:val="300"/>
        </w:trPr>
        <w:tc>
          <w:tcPr>
            <w:tcW w:w="1005" w:type="dxa"/>
            <w:tcBorders>
              <w:top w:val="single" w:sz="6" w:space="0" w:color="C9D2DE"/>
              <w:left w:val="single" w:sz="6" w:space="0" w:color="AAB4C4"/>
              <w:bottom w:val="single" w:sz="6" w:space="0" w:color="C9D2DE"/>
              <w:right w:val="single" w:sz="6" w:space="0" w:color="C9D2DE"/>
            </w:tcBorders>
            <w:hideMark/>
          </w:tcPr>
          <w:p w14:paraId="0CC3FF26"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Argentina </w:t>
            </w:r>
          </w:p>
        </w:tc>
        <w:tc>
          <w:tcPr>
            <w:tcW w:w="1395" w:type="dxa"/>
            <w:tcBorders>
              <w:top w:val="single" w:sz="6" w:space="0" w:color="C9D2DE"/>
              <w:left w:val="single" w:sz="6" w:space="0" w:color="C9D2DE"/>
              <w:bottom w:val="single" w:sz="6" w:space="0" w:color="C9D2DE"/>
              <w:right w:val="single" w:sz="6" w:space="0" w:color="C9D2DE"/>
            </w:tcBorders>
            <w:hideMark/>
          </w:tcPr>
          <w:p w14:paraId="56201192"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Dynamic population mapping; information society statistics </w:t>
            </w:r>
          </w:p>
        </w:tc>
        <w:tc>
          <w:tcPr>
            <w:tcW w:w="1530" w:type="dxa"/>
            <w:tcBorders>
              <w:top w:val="single" w:sz="6" w:space="0" w:color="C9D2DE"/>
              <w:left w:val="single" w:sz="6" w:space="0" w:color="C9D2DE"/>
              <w:bottom w:val="single" w:sz="6" w:space="0" w:color="C9D2DE"/>
              <w:right w:val="single" w:sz="6" w:space="0" w:color="C9D2DE"/>
            </w:tcBorders>
            <w:hideMark/>
          </w:tcPr>
          <w:p w14:paraId="274EF3CB"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No MOU documented </w:t>
            </w:r>
          </w:p>
        </w:tc>
        <w:tc>
          <w:tcPr>
            <w:tcW w:w="1035" w:type="dxa"/>
            <w:tcBorders>
              <w:top w:val="single" w:sz="6" w:space="0" w:color="C9D2DE"/>
              <w:left w:val="single" w:sz="6" w:space="0" w:color="C9D2DE"/>
              <w:bottom w:val="single" w:sz="6" w:space="0" w:color="C9D2DE"/>
              <w:right w:val="single" w:sz="6" w:space="0" w:color="C9D2DE"/>
            </w:tcBorders>
            <w:hideMark/>
          </w:tcPr>
          <w:p w14:paraId="1AEB7FDA"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Pre-Foundation </w:t>
            </w:r>
          </w:p>
        </w:tc>
        <w:tc>
          <w:tcPr>
            <w:tcW w:w="1020" w:type="dxa"/>
            <w:tcBorders>
              <w:top w:val="single" w:sz="6" w:space="0" w:color="C9D2DE"/>
              <w:left w:val="single" w:sz="6" w:space="0" w:color="C9D2DE"/>
              <w:bottom w:val="single" w:sz="6" w:space="0" w:color="C9D2DE"/>
              <w:right w:val="single" w:sz="6" w:space="0" w:color="C9D2DE"/>
            </w:tcBorders>
            <w:hideMark/>
          </w:tcPr>
          <w:p w14:paraId="57947E26"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N </w:t>
            </w:r>
          </w:p>
        </w:tc>
        <w:tc>
          <w:tcPr>
            <w:tcW w:w="4185" w:type="dxa"/>
            <w:tcBorders>
              <w:top w:val="single" w:sz="6" w:space="0" w:color="C9D2DE"/>
              <w:left w:val="single" w:sz="6" w:space="0" w:color="C9D2DE"/>
              <w:bottom w:val="single" w:sz="6" w:space="0" w:color="C9D2DE"/>
              <w:right w:val="single" w:sz="6" w:space="0" w:color="AAB4C4"/>
            </w:tcBorders>
            <w:hideMark/>
          </w:tcPr>
          <w:p w14:paraId="76B85B3B"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kern w:val="0"/>
                <w:sz w:val="19"/>
                <w:szCs w:val="19"/>
                <w14:ligatures w14:val="none"/>
              </w:rPr>
              <w:t>- </w:t>
            </w:r>
            <w:r w:rsidRPr="00F42431">
              <w:rPr>
                <w:rFonts w:ascii="Calibri" w:eastAsia="Times New Roman" w:hAnsi="Calibri" w:cs="Calibri"/>
                <w:color w:val="000000"/>
                <w:kern w:val="0"/>
                <w:sz w:val="18"/>
                <w:szCs w:val="18"/>
                <w14:ligatures w14:val="none"/>
              </w:rPr>
              <w:t>Telefonica sale put a pause on Regulator engagement with the project.  </w:t>
            </w:r>
          </w:p>
          <w:p w14:paraId="1990E810"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 ITU Magpantay has established contact with a separate government team  </w:t>
            </w:r>
          </w:p>
          <w:p w14:paraId="67236A6D"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 Marianna is considering options </w:t>
            </w:r>
          </w:p>
        </w:tc>
      </w:tr>
      <w:tr w:rsidR="00F42431" w:rsidRPr="00F42431" w14:paraId="0A60E74D" w14:textId="77777777">
        <w:trPr>
          <w:trHeight w:val="300"/>
        </w:trPr>
        <w:tc>
          <w:tcPr>
            <w:tcW w:w="1005" w:type="dxa"/>
            <w:tcBorders>
              <w:top w:val="single" w:sz="6" w:space="0" w:color="C9D2DE"/>
              <w:left w:val="single" w:sz="6" w:space="0" w:color="AAB4C4"/>
              <w:bottom w:val="single" w:sz="6" w:space="0" w:color="C9D2DE"/>
              <w:right w:val="single" w:sz="6" w:space="0" w:color="C9D2DE"/>
            </w:tcBorders>
            <w:shd w:val="clear" w:color="auto" w:fill="EDF1F7"/>
            <w:hideMark/>
          </w:tcPr>
          <w:p w14:paraId="053408A4"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Benin </w:t>
            </w:r>
          </w:p>
        </w:tc>
        <w:tc>
          <w:tcPr>
            <w:tcW w:w="1395" w:type="dxa"/>
            <w:tcBorders>
              <w:top w:val="single" w:sz="6" w:space="0" w:color="C9D2DE"/>
              <w:left w:val="single" w:sz="6" w:space="0" w:color="C9D2DE"/>
              <w:bottom w:val="single" w:sz="6" w:space="0" w:color="C9D2DE"/>
              <w:right w:val="single" w:sz="6" w:space="0" w:color="C9D2DE"/>
            </w:tcBorders>
            <w:shd w:val="clear" w:color="auto" w:fill="EDF1F7"/>
            <w:hideMark/>
          </w:tcPr>
          <w:p w14:paraId="383C2AC9"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Dynamic population mapping; tourism statistics </w:t>
            </w:r>
          </w:p>
        </w:tc>
        <w:tc>
          <w:tcPr>
            <w:tcW w:w="1530" w:type="dxa"/>
            <w:tcBorders>
              <w:top w:val="single" w:sz="6" w:space="0" w:color="C9D2DE"/>
              <w:left w:val="single" w:sz="6" w:space="0" w:color="C9D2DE"/>
              <w:bottom w:val="single" w:sz="6" w:space="0" w:color="C9D2DE"/>
              <w:right w:val="single" w:sz="6" w:space="0" w:color="C9D2DE"/>
            </w:tcBorders>
            <w:shd w:val="clear" w:color="auto" w:fill="EDF1F7"/>
            <w:hideMark/>
          </w:tcPr>
          <w:p w14:paraId="77422520"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No MOU documented </w:t>
            </w:r>
          </w:p>
        </w:tc>
        <w:tc>
          <w:tcPr>
            <w:tcW w:w="1035" w:type="dxa"/>
            <w:tcBorders>
              <w:top w:val="single" w:sz="6" w:space="0" w:color="C9D2DE"/>
              <w:left w:val="single" w:sz="6" w:space="0" w:color="C9D2DE"/>
              <w:bottom w:val="single" w:sz="6" w:space="0" w:color="C9D2DE"/>
              <w:right w:val="single" w:sz="6" w:space="0" w:color="C9D2DE"/>
            </w:tcBorders>
            <w:shd w:val="clear" w:color="auto" w:fill="EDF1F7"/>
            <w:hideMark/>
          </w:tcPr>
          <w:p w14:paraId="3F974119"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Pre-Foundation </w:t>
            </w:r>
          </w:p>
        </w:tc>
        <w:tc>
          <w:tcPr>
            <w:tcW w:w="1020" w:type="dxa"/>
            <w:tcBorders>
              <w:top w:val="single" w:sz="6" w:space="0" w:color="C9D2DE"/>
              <w:left w:val="single" w:sz="6" w:space="0" w:color="C9D2DE"/>
              <w:bottom w:val="single" w:sz="6" w:space="0" w:color="C9D2DE"/>
              <w:right w:val="single" w:sz="6" w:space="0" w:color="C9D2DE"/>
            </w:tcBorders>
            <w:shd w:val="clear" w:color="auto" w:fill="EDF1F7"/>
            <w:hideMark/>
          </w:tcPr>
          <w:p w14:paraId="28A93B51"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N </w:t>
            </w:r>
          </w:p>
        </w:tc>
        <w:tc>
          <w:tcPr>
            <w:tcW w:w="4185" w:type="dxa"/>
            <w:tcBorders>
              <w:top w:val="single" w:sz="6" w:space="0" w:color="C9D2DE"/>
              <w:left w:val="single" w:sz="6" w:space="0" w:color="C9D2DE"/>
              <w:bottom w:val="single" w:sz="6" w:space="0" w:color="C9D2DE"/>
              <w:right w:val="single" w:sz="6" w:space="0" w:color="AAB4C4"/>
            </w:tcBorders>
            <w:shd w:val="clear" w:color="auto" w:fill="EDF1F7"/>
            <w:hideMark/>
          </w:tcPr>
          <w:p w14:paraId="7F556717"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kern w:val="0"/>
                <w:sz w:val="19"/>
                <w:szCs w:val="19"/>
                <w14:ligatures w14:val="none"/>
              </w:rPr>
              <w:t> </w:t>
            </w:r>
          </w:p>
        </w:tc>
      </w:tr>
      <w:tr w:rsidR="00F42431" w:rsidRPr="00F42431" w14:paraId="2DC33768" w14:textId="77777777">
        <w:trPr>
          <w:trHeight w:val="300"/>
        </w:trPr>
        <w:tc>
          <w:tcPr>
            <w:tcW w:w="1005" w:type="dxa"/>
            <w:tcBorders>
              <w:top w:val="single" w:sz="6" w:space="0" w:color="C9D2DE"/>
              <w:left w:val="single" w:sz="6" w:space="0" w:color="AAB4C4"/>
              <w:bottom w:val="single" w:sz="6" w:space="0" w:color="C9D2DE"/>
              <w:right w:val="single" w:sz="6" w:space="0" w:color="C9D2DE"/>
            </w:tcBorders>
            <w:hideMark/>
          </w:tcPr>
          <w:p w14:paraId="429637E2"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Brazil </w:t>
            </w:r>
          </w:p>
        </w:tc>
        <w:tc>
          <w:tcPr>
            <w:tcW w:w="1395" w:type="dxa"/>
            <w:tcBorders>
              <w:top w:val="single" w:sz="6" w:space="0" w:color="C9D2DE"/>
              <w:left w:val="single" w:sz="6" w:space="0" w:color="C9D2DE"/>
              <w:bottom w:val="single" w:sz="6" w:space="0" w:color="C9D2DE"/>
              <w:right w:val="single" w:sz="6" w:space="0" w:color="C9D2DE"/>
            </w:tcBorders>
            <w:hideMark/>
          </w:tcPr>
          <w:p w14:paraId="17EABAD0"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Transport and mobility statistics </w:t>
            </w:r>
          </w:p>
        </w:tc>
        <w:tc>
          <w:tcPr>
            <w:tcW w:w="1530" w:type="dxa"/>
            <w:tcBorders>
              <w:top w:val="single" w:sz="6" w:space="0" w:color="C9D2DE"/>
              <w:left w:val="single" w:sz="6" w:space="0" w:color="C9D2DE"/>
              <w:bottom w:val="single" w:sz="6" w:space="0" w:color="C9D2DE"/>
              <w:right w:val="single" w:sz="6" w:space="0" w:color="C9D2DE"/>
            </w:tcBorders>
            <w:hideMark/>
          </w:tcPr>
          <w:p w14:paraId="230D6BA5"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MOU signed </w:t>
            </w:r>
          </w:p>
        </w:tc>
        <w:tc>
          <w:tcPr>
            <w:tcW w:w="1035" w:type="dxa"/>
            <w:tcBorders>
              <w:top w:val="single" w:sz="6" w:space="0" w:color="C9D2DE"/>
              <w:left w:val="single" w:sz="6" w:space="0" w:color="C9D2DE"/>
              <w:bottom w:val="single" w:sz="6" w:space="0" w:color="C9D2DE"/>
              <w:right w:val="single" w:sz="6" w:space="0" w:color="C9D2DE"/>
            </w:tcBorders>
            <w:hideMark/>
          </w:tcPr>
          <w:p w14:paraId="54E7679D"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Practitioner </w:t>
            </w:r>
          </w:p>
        </w:tc>
        <w:tc>
          <w:tcPr>
            <w:tcW w:w="1020" w:type="dxa"/>
            <w:tcBorders>
              <w:top w:val="single" w:sz="6" w:space="0" w:color="C9D2DE"/>
              <w:left w:val="single" w:sz="6" w:space="0" w:color="C9D2DE"/>
              <w:bottom w:val="single" w:sz="6" w:space="0" w:color="C9D2DE"/>
              <w:right w:val="single" w:sz="6" w:space="0" w:color="C9D2DE"/>
            </w:tcBorders>
            <w:hideMark/>
          </w:tcPr>
          <w:p w14:paraId="4C7EE799"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N </w:t>
            </w:r>
          </w:p>
        </w:tc>
        <w:tc>
          <w:tcPr>
            <w:tcW w:w="4185" w:type="dxa"/>
            <w:tcBorders>
              <w:top w:val="single" w:sz="6" w:space="0" w:color="C9D2DE"/>
              <w:left w:val="single" w:sz="6" w:space="0" w:color="C9D2DE"/>
              <w:bottom w:val="single" w:sz="6" w:space="0" w:color="C9D2DE"/>
              <w:right w:val="single" w:sz="6" w:space="0" w:color="AAB4C4"/>
            </w:tcBorders>
            <w:hideMark/>
          </w:tcPr>
          <w:p w14:paraId="3B87B232"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kern w:val="0"/>
                <w:sz w:val="18"/>
                <w:szCs w:val="18"/>
                <w14:ligatures w14:val="none"/>
              </w:rPr>
              <w:t>-Stakeholder workshop in Brasilia (Feb 2025): 100+ representatives from ANATEL, Ministry of Cities, IBGE, SERPRO </w:t>
            </w:r>
          </w:p>
          <w:p w14:paraId="5FCC0B4B"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kern w:val="0"/>
                <w:sz w:val="18"/>
                <w:szCs w:val="18"/>
                <w14:ligatures w14:val="none"/>
              </w:rPr>
              <w:t> </w:t>
            </w:r>
          </w:p>
          <w:p w14:paraId="31DA2200" w14:textId="77777777" w:rsidR="00F42431" w:rsidRPr="00F42431" w:rsidRDefault="00F42431" w:rsidP="00F42431">
            <w:pPr>
              <w:numPr>
                <w:ilvl w:val="0"/>
                <w:numId w:val="1"/>
              </w:numPr>
              <w:spacing w:after="0" w:line="240" w:lineRule="auto"/>
              <w:ind w:firstLine="0"/>
              <w:textAlignment w:val="baseline"/>
              <w:rPr>
                <w:rFonts w:ascii="Calibri" w:eastAsia="Times New Roman" w:hAnsi="Calibri" w:cs="Calibri"/>
                <w:kern w:val="0"/>
                <w:sz w:val="18"/>
                <w:szCs w:val="18"/>
                <w14:ligatures w14:val="none"/>
              </w:rPr>
            </w:pPr>
            <w:r w:rsidRPr="00F42431">
              <w:rPr>
                <w:rFonts w:ascii="Calibri" w:eastAsia="Times New Roman" w:hAnsi="Calibri" w:cs="Calibri"/>
                <w:kern w:val="0"/>
                <w:sz w:val="18"/>
                <w:szCs w:val="18"/>
                <w14:ligatures w14:val="none"/>
              </w:rPr>
              <w:t>Origin-destination matrices and mobility pilots launched for Florianópolis, Rio de Janeiro, and Belém </w:t>
            </w:r>
          </w:p>
          <w:p w14:paraId="1857271B"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kern w:val="0"/>
                <w:sz w:val="18"/>
                <w:szCs w:val="18"/>
                <w14:ligatures w14:val="none"/>
              </w:rPr>
              <w:t> </w:t>
            </w:r>
          </w:p>
          <w:p w14:paraId="6283E6C3" w14:textId="77777777" w:rsidR="00F42431" w:rsidRPr="00F42431" w:rsidRDefault="00F42431" w:rsidP="00F42431">
            <w:pPr>
              <w:numPr>
                <w:ilvl w:val="0"/>
                <w:numId w:val="2"/>
              </w:numPr>
              <w:spacing w:after="0" w:line="240" w:lineRule="auto"/>
              <w:ind w:firstLine="0"/>
              <w:textAlignment w:val="baseline"/>
              <w:rPr>
                <w:rFonts w:ascii="Calibri" w:eastAsia="Times New Roman" w:hAnsi="Calibri" w:cs="Calibri"/>
                <w:kern w:val="0"/>
                <w:sz w:val="18"/>
                <w:szCs w:val="18"/>
                <w14:ligatures w14:val="none"/>
              </w:rPr>
            </w:pPr>
            <w:r w:rsidRPr="00F42431">
              <w:rPr>
                <w:rFonts w:ascii="Calibri" w:eastAsia="Times New Roman" w:hAnsi="Calibri" w:cs="Calibri"/>
                <w:kern w:val="0"/>
                <w:sz w:val="18"/>
                <w:szCs w:val="18"/>
                <w14:ligatures w14:val="none"/>
              </w:rPr>
              <w:t>MPD analytics integrated into Brazil Electromobility MPA (electric bus transition) </w:t>
            </w:r>
          </w:p>
          <w:p w14:paraId="7938AA44"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kern w:val="0"/>
                <w:sz w:val="18"/>
                <w:szCs w:val="18"/>
                <w14:ligatures w14:val="none"/>
              </w:rPr>
              <w:t> </w:t>
            </w:r>
          </w:p>
          <w:p w14:paraId="0DE8F455" w14:textId="77777777" w:rsidR="00F42431" w:rsidRPr="00F42431" w:rsidRDefault="00F42431" w:rsidP="00F42431">
            <w:pPr>
              <w:numPr>
                <w:ilvl w:val="0"/>
                <w:numId w:val="3"/>
              </w:numPr>
              <w:spacing w:after="0" w:line="240" w:lineRule="auto"/>
              <w:ind w:firstLine="0"/>
              <w:textAlignment w:val="baseline"/>
              <w:rPr>
                <w:rFonts w:ascii="Calibri" w:eastAsia="Times New Roman" w:hAnsi="Calibri" w:cs="Calibri"/>
                <w:kern w:val="0"/>
                <w:sz w:val="18"/>
                <w:szCs w:val="18"/>
                <w14:ligatures w14:val="none"/>
              </w:rPr>
            </w:pPr>
            <w:r w:rsidRPr="00F42431">
              <w:rPr>
                <w:rFonts w:ascii="Calibri" w:eastAsia="Times New Roman" w:hAnsi="Calibri" w:cs="Calibri"/>
                <w:color w:val="000000"/>
                <w:kern w:val="0"/>
                <w:sz w:val="18"/>
                <w:szCs w:val="18"/>
                <w14:ligatures w14:val="none"/>
              </w:rPr>
              <w:t>DRM use case added following 2024 Rio Grande do Sul floods </w:t>
            </w:r>
          </w:p>
          <w:p w14:paraId="3CF21D7F"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  </w:t>
            </w:r>
          </w:p>
          <w:p w14:paraId="2F6268F4"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--LAC regional hub engagement (IBGE / ENCE)  </w:t>
            </w:r>
          </w:p>
          <w:p w14:paraId="6D612DFB"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kern w:val="0"/>
                <w:sz w:val="18"/>
                <w:szCs w:val="18"/>
                <w14:ligatures w14:val="none"/>
              </w:rPr>
              <w:t> </w:t>
            </w:r>
          </w:p>
          <w:p w14:paraId="442DF21D" w14:textId="77777777" w:rsidR="00F42431" w:rsidRPr="00F42431" w:rsidRDefault="00F42431" w:rsidP="00F42431">
            <w:pPr>
              <w:numPr>
                <w:ilvl w:val="0"/>
                <w:numId w:val="4"/>
              </w:numPr>
              <w:spacing w:after="0" w:line="240" w:lineRule="auto"/>
              <w:ind w:firstLine="0"/>
              <w:textAlignment w:val="baseline"/>
              <w:rPr>
                <w:rFonts w:ascii="Calibri" w:eastAsia="Times New Roman" w:hAnsi="Calibri" w:cs="Calibri"/>
                <w:kern w:val="0"/>
                <w:sz w:val="18"/>
                <w:szCs w:val="18"/>
                <w14:ligatures w14:val="none"/>
              </w:rPr>
            </w:pPr>
            <w:r w:rsidRPr="00F42431">
              <w:rPr>
                <w:rFonts w:ascii="Calibri" w:eastAsia="Times New Roman" w:hAnsi="Calibri" w:cs="Calibri"/>
                <w:kern w:val="0"/>
                <w:sz w:val="18"/>
                <w:szCs w:val="18"/>
                <w14:ligatures w14:val="none"/>
              </w:rPr>
              <w:t>Origin-destination matrices and mobility pilots completed for Florianópolis, Rio de Janeiro, and Belém </w:t>
            </w:r>
          </w:p>
          <w:p w14:paraId="31AE2D02" w14:textId="77777777" w:rsidR="00F42431" w:rsidRPr="00F42431" w:rsidRDefault="00F42431" w:rsidP="00F42431">
            <w:pPr>
              <w:spacing w:after="0" w:line="240" w:lineRule="auto"/>
              <w:ind w:left="360"/>
              <w:textAlignment w:val="baseline"/>
              <w:rPr>
                <w:rFonts w:ascii="Segoe UI" w:eastAsia="Times New Roman" w:hAnsi="Segoe UI" w:cs="Segoe UI"/>
                <w:kern w:val="0"/>
                <w:sz w:val="18"/>
                <w:szCs w:val="18"/>
                <w14:ligatures w14:val="none"/>
              </w:rPr>
            </w:pPr>
            <w:r w:rsidRPr="00F42431">
              <w:rPr>
                <w:rFonts w:ascii="Calibri" w:eastAsia="Times New Roman" w:hAnsi="Calibri" w:cs="Calibri"/>
                <w:kern w:val="0"/>
                <w:sz w:val="18"/>
                <w:szCs w:val="18"/>
                <w14:ligatures w14:val="none"/>
              </w:rPr>
              <w:t> </w:t>
            </w:r>
          </w:p>
          <w:p w14:paraId="020183D7" w14:textId="77777777" w:rsidR="00F42431" w:rsidRPr="00F42431" w:rsidRDefault="00F42431" w:rsidP="00F42431">
            <w:pPr>
              <w:numPr>
                <w:ilvl w:val="0"/>
                <w:numId w:val="5"/>
              </w:numPr>
              <w:spacing w:after="0" w:line="240" w:lineRule="auto"/>
              <w:ind w:firstLine="0"/>
              <w:textAlignment w:val="baseline"/>
              <w:rPr>
                <w:rFonts w:ascii="Calibri" w:eastAsia="Times New Roman" w:hAnsi="Calibri" w:cs="Calibri"/>
                <w:kern w:val="0"/>
                <w:sz w:val="18"/>
                <w:szCs w:val="18"/>
                <w14:ligatures w14:val="none"/>
              </w:rPr>
            </w:pPr>
            <w:r w:rsidRPr="00F42431">
              <w:rPr>
                <w:rFonts w:ascii="Calibri" w:eastAsia="Times New Roman" w:hAnsi="Calibri" w:cs="Calibri"/>
                <w:kern w:val="0"/>
                <w:sz w:val="18"/>
                <w:szCs w:val="18"/>
                <w14:ligatures w14:val="none"/>
              </w:rPr>
              <w:t>Analytical use case for Salvador urban transport, including providing concrete policy insights (completed in July 2026) </w:t>
            </w:r>
          </w:p>
          <w:p w14:paraId="0F2B87FB" w14:textId="77777777" w:rsidR="00F42431" w:rsidRPr="00F42431" w:rsidRDefault="00F42431" w:rsidP="00F42431">
            <w:pPr>
              <w:spacing w:after="0" w:line="240" w:lineRule="auto"/>
              <w:ind w:left="360"/>
              <w:textAlignment w:val="baseline"/>
              <w:rPr>
                <w:rFonts w:ascii="Segoe UI" w:eastAsia="Times New Roman" w:hAnsi="Segoe UI" w:cs="Segoe UI"/>
                <w:kern w:val="0"/>
                <w:sz w:val="18"/>
                <w:szCs w:val="18"/>
                <w14:ligatures w14:val="none"/>
              </w:rPr>
            </w:pPr>
            <w:r w:rsidRPr="00F42431">
              <w:rPr>
                <w:rFonts w:ascii="Calibri" w:eastAsia="Times New Roman" w:hAnsi="Calibri" w:cs="Calibri"/>
                <w:kern w:val="0"/>
                <w:sz w:val="18"/>
                <w:szCs w:val="18"/>
                <w14:ligatures w14:val="none"/>
              </w:rPr>
              <w:t> </w:t>
            </w:r>
          </w:p>
          <w:p w14:paraId="140C567F" w14:textId="77777777" w:rsidR="00F42431" w:rsidRPr="00F42431" w:rsidRDefault="00F42431" w:rsidP="00F42431">
            <w:pPr>
              <w:numPr>
                <w:ilvl w:val="0"/>
                <w:numId w:val="6"/>
              </w:numPr>
              <w:spacing w:after="0" w:line="240" w:lineRule="auto"/>
              <w:ind w:firstLine="0"/>
              <w:textAlignment w:val="baseline"/>
              <w:rPr>
                <w:rFonts w:ascii="Calibri" w:eastAsia="Times New Roman" w:hAnsi="Calibri" w:cs="Calibri"/>
                <w:kern w:val="0"/>
                <w:sz w:val="18"/>
                <w:szCs w:val="18"/>
                <w14:ligatures w14:val="none"/>
              </w:rPr>
            </w:pPr>
            <w:r w:rsidRPr="00F42431">
              <w:rPr>
                <w:rFonts w:ascii="Calibri" w:eastAsia="Times New Roman" w:hAnsi="Calibri" w:cs="Calibri"/>
                <w:kern w:val="0"/>
                <w:sz w:val="18"/>
                <w:szCs w:val="18"/>
                <w14:ligatures w14:val="none"/>
              </w:rPr>
              <w:t xml:space="preserve">Final capacity building workshop planned for November 5, 2026, where the first half of the day will focus on the presentation of the policy insights emerging from the analytical case studies (Salvador urban transport, Rio Grande do Sul DRM, plus a presentation by IBGE on their efforts to </w:t>
            </w:r>
            <w:r w:rsidRPr="00F42431">
              <w:rPr>
                <w:rFonts w:ascii="Calibri" w:eastAsia="Times New Roman" w:hAnsi="Calibri" w:cs="Calibri"/>
                <w:kern w:val="0"/>
                <w:sz w:val="18"/>
                <w:szCs w:val="18"/>
                <w14:ligatures w14:val="none"/>
              </w:rPr>
              <w:lastRenderedPageBreak/>
              <w:t>develop a proof of concept with CDR for commuting statistics), and the second half of the day will be hands-on training on CDR use and caveats. I’m attaching the save-the-date if useful. </w:t>
            </w:r>
          </w:p>
          <w:p w14:paraId="385EF3FE"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 </w:t>
            </w:r>
          </w:p>
        </w:tc>
      </w:tr>
      <w:tr w:rsidR="00F42431" w:rsidRPr="00F42431" w14:paraId="7BCD86AD" w14:textId="77777777">
        <w:trPr>
          <w:trHeight w:val="300"/>
        </w:trPr>
        <w:tc>
          <w:tcPr>
            <w:tcW w:w="1005" w:type="dxa"/>
            <w:tcBorders>
              <w:top w:val="single" w:sz="6" w:space="0" w:color="C9D2DE"/>
              <w:left w:val="single" w:sz="6" w:space="0" w:color="AAB4C4"/>
              <w:bottom w:val="single" w:sz="6" w:space="0" w:color="C9D2DE"/>
              <w:right w:val="single" w:sz="6" w:space="0" w:color="C9D2DE"/>
            </w:tcBorders>
            <w:shd w:val="clear" w:color="auto" w:fill="EDF1F7"/>
            <w:hideMark/>
          </w:tcPr>
          <w:p w14:paraId="35316C58"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lastRenderedPageBreak/>
              <w:t>Côte d’Ivoire </w:t>
            </w:r>
          </w:p>
        </w:tc>
        <w:tc>
          <w:tcPr>
            <w:tcW w:w="1395" w:type="dxa"/>
            <w:tcBorders>
              <w:top w:val="single" w:sz="6" w:space="0" w:color="C9D2DE"/>
              <w:left w:val="single" w:sz="6" w:space="0" w:color="C9D2DE"/>
              <w:bottom w:val="single" w:sz="6" w:space="0" w:color="C9D2DE"/>
              <w:right w:val="single" w:sz="6" w:space="0" w:color="C9D2DE"/>
            </w:tcBorders>
            <w:shd w:val="clear" w:color="auto" w:fill="EDF1F7"/>
            <w:hideMark/>
          </w:tcPr>
          <w:p w14:paraId="44164476"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Dynamic population mapping; migration statistics </w:t>
            </w:r>
          </w:p>
        </w:tc>
        <w:tc>
          <w:tcPr>
            <w:tcW w:w="1530" w:type="dxa"/>
            <w:tcBorders>
              <w:top w:val="single" w:sz="6" w:space="0" w:color="C9D2DE"/>
              <w:left w:val="single" w:sz="6" w:space="0" w:color="C9D2DE"/>
              <w:bottom w:val="single" w:sz="6" w:space="0" w:color="C9D2DE"/>
              <w:right w:val="single" w:sz="6" w:space="0" w:color="C9D2DE"/>
            </w:tcBorders>
            <w:shd w:val="clear" w:color="auto" w:fill="EDF1F7"/>
            <w:hideMark/>
          </w:tcPr>
          <w:p w14:paraId="254D2A33"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MOU drafted, not signed </w:t>
            </w:r>
          </w:p>
        </w:tc>
        <w:tc>
          <w:tcPr>
            <w:tcW w:w="1035" w:type="dxa"/>
            <w:tcBorders>
              <w:top w:val="single" w:sz="6" w:space="0" w:color="C9D2DE"/>
              <w:left w:val="single" w:sz="6" w:space="0" w:color="C9D2DE"/>
              <w:bottom w:val="single" w:sz="6" w:space="0" w:color="C9D2DE"/>
              <w:right w:val="single" w:sz="6" w:space="0" w:color="C9D2DE"/>
            </w:tcBorders>
            <w:shd w:val="clear" w:color="auto" w:fill="EDF1F7"/>
            <w:hideMark/>
          </w:tcPr>
          <w:p w14:paraId="1C58BD5F"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Pre-Foundation </w:t>
            </w:r>
          </w:p>
        </w:tc>
        <w:tc>
          <w:tcPr>
            <w:tcW w:w="1020" w:type="dxa"/>
            <w:tcBorders>
              <w:top w:val="single" w:sz="6" w:space="0" w:color="C9D2DE"/>
              <w:left w:val="single" w:sz="6" w:space="0" w:color="C9D2DE"/>
              <w:bottom w:val="single" w:sz="6" w:space="0" w:color="C9D2DE"/>
              <w:right w:val="single" w:sz="6" w:space="0" w:color="C9D2DE"/>
            </w:tcBorders>
            <w:shd w:val="clear" w:color="auto" w:fill="EDF1F7"/>
            <w:hideMark/>
          </w:tcPr>
          <w:p w14:paraId="1365ACFF"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N </w:t>
            </w:r>
          </w:p>
        </w:tc>
        <w:tc>
          <w:tcPr>
            <w:tcW w:w="4185" w:type="dxa"/>
            <w:tcBorders>
              <w:top w:val="single" w:sz="6" w:space="0" w:color="C9D2DE"/>
              <w:left w:val="single" w:sz="6" w:space="0" w:color="C9D2DE"/>
              <w:bottom w:val="single" w:sz="6" w:space="0" w:color="C9D2DE"/>
              <w:right w:val="single" w:sz="6" w:space="0" w:color="AAB4C4"/>
            </w:tcBorders>
            <w:shd w:val="clear" w:color="auto" w:fill="EDF1F7"/>
            <w:hideMark/>
          </w:tcPr>
          <w:p w14:paraId="3EAA710D"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 Hosted the ECOWAS MPD for Statistics Workshop, Abidjan, Mar 2026; founding member of the ECOWAS Technical Working Group.  </w:t>
            </w:r>
          </w:p>
          <w:p w14:paraId="2BBFE554"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 MOU drafted with Orange. </w:t>
            </w:r>
          </w:p>
        </w:tc>
      </w:tr>
      <w:tr w:rsidR="00F42431" w:rsidRPr="00F42431" w14:paraId="7081FFD1" w14:textId="77777777">
        <w:trPr>
          <w:trHeight w:val="300"/>
        </w:trPr>
        <w:tc>
          <w:tcPr>
            <w:tcW w:w="1005" w:type="dxa"/>
            <w:tcBorders>
              <w:top w:val="single" w:sz="6" w:space="0" w:color="C9D2DE"/>
              <w:left w:val="single" w:sz="6" w:space="0" w:color="AAB4C4"/>
              <w:bottom w:val="single" w:sz="6" w:space="0" w:color="C9D2DE"/>
              <w:right w:val="single" w:sz="6" w:space="0" w:color="C9D2DE"/>
            </w:tcBorders>
            <w:hideMark/>
          </w:tcPr>
          <w:p w14:paraId="16B49FC6"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Ecuador </w:t>
            </w:r>
          </w:p>
        </w:tc>
        <w:tc>
          <w:tcPr>
            <w:tcW w:w="1395" w:type="dxa"/>
            <w:tcBorders>
              <w:top w:val="single" w:sz="6" w:space="0" w:color="C9D2DE"/>
              <w:left w:val="single" w:sz="6" w:space="0" w:color="C9D2DE"/>
              <w:bottom w:val="single" w:sz="6" w:space="0" w:color="C9D2DE"/>
              <w:right w:val="single" w:sz="6" w:space="0" w:color="C9D2DE"/>
            </w:tcBorders>
            <w:hideMark/>
          </w:tcPr>
          <w:p w14:paraId="2A622B40"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Transport statistics; poverty mapping </w:t>
            </w:r>
          </w:p>
        </w:tc>
        <w:tc>
          <w:tcPr>
            <w:tcW w:w="1530" w:type="dxa"/>
            <w:tcBorders>
              <w:top w:val="single" w:sz="6" w:space="0" w:color="C9D2DE"/>
              <w:left w:val="single" w:sz="6" w:space="0" w:color="C9D2DE"/>
              <w:bottom w:val="single" w:sz="6" w:space="0" w:color="C9D2DE"/>
              <w:right w:val="single" w:sz="6" w:space="0" w:color="C9D2DE"/>
            </w:tcBorders>
            <w:hideMark/>
          </w:tcPr>
          <w:p w14:paraId="1321F232"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MOU signed </w:t>
            </w:r>
          </w:p>
        </w:tc>
        <w:tc>
          <w:tcPr>
            <w:tcW w:w="1035" w:type="dxa"/>
            <w:tcBorders>
              <w:top w:val="single" w:sz="6" w:space="0" w:color="C9D2DE"/>
              <w:left w:val="single" w:sz="6" w:space="0" w:color="C9D2DE"/>
              <w:bottom w:val="single" w:sz="6" w:space="0" w:color="C9D2DE"/>
              <w:right w:val="single" w:sz="6" w:space="0" w:color="C9D2DE"/>
            </w:tcBorders>
            <w:hideMark/>
          </w:tcPr>
          <w:p w14:paraId="185527A2"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Foundation </w:t>
            </w:r>
          </w:p>
        </w:tc>
        <w:tc>
          <w:tcPr>
            <w:tcW w:w="1020" w:type="dxa"/>
            <w:tcBorders>
              <w:top w:val="single" w:sz="6" w:space="0" w:color="C9D2DE"/>
              <w:left w:val="single" w:sz="6" w:space="0" w:color="C9D2DE"/>
              <w:bottom w:val="single" w:sz="6" w:space="0" w:color="C9D2DE"/>
              <w:right w:val="single" w:sz="6" w:space="0" w:color="C9D2DE"/>
            </w:tcBorders>
            <w:hideMark/>
          </w:tcPr>
          <w:p w14:paraId="15DE1F90"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kern w:val="0"/>
                <w:sz w:val="19"/>
                <w:szCs w:val="19"/>
                <w14:ligatures w14:val="none"/>
              </w:rPr>
              <w:t>Y </w:t>
            </w:r>
          </w:p>
        </w:tc>
        <w:tc>
          <w:tcPr>
            <w:tcW w:w="4185" w:type="dxa"/>
            <w:tcBorders>
              <w:top w:val="single" w:sz="6" w:space="0" w:color="C9D2DE"/>
              <w:left w:val="single" w:sz="6" w:space="0" w:color="C9D2DE"/>
              <w:bottom w:val="single" w:sz="6" w:space="0" w:color="C9D2DE"/>
              <w:right w:val="single" w:sz="6" w:space="0" w:color="AAB4C4"/>
            </w:tcBorders>
            <w:hideMark/>
          </w:tcPr>
          <w:p w14:paraId="056D8326"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 </w:t>
            </w:r>
          </w:p>
          <w:p w14:paraId="554D063F"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 MOU signed </w:t>
            </w:r>
          </w:p>
          <w:p w14:paraId="06F576A2"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 Pipeline provisioned; active data use under way. Strong Foundations Course uptake across INEC, MTOP, the Quito Secretariat of Mobility and OTECEL.  </w:t>
            </w:r>
          </w:p>
          <w:p w14:paraId="11D4CCDE"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 Use cases: national road network model, Quito Metro impact, canton-level poverty mapping. </w:t>
            </w:r>
          </w:p>
          <w:p w14:paraId="2BC413FA"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OTECEL dataset acquired with two weeks of QA technical support First interinstitutional MPD technical team created (INEC, MIT, OTECEL)  </w:t>
            </w:r>
          </w:p>
          <w:p w14:paraId="1C3F218F"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 ML poverty estimation model developed (consultant from Universidad Carlos III de Madrid) </w:t>
            </w:r>
          </w:p>
          <w:p w14:paraId="3CF72638"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 Informing Emergency Resilient Reconstruction Project (P181079) and Quito Metro Line One Phase II (P511841) </w:t>
            </w:r>
          </w:p>
        </w:tc>
      </w:tr>
      <w:tr w:rsidR="00F42431" w:rsidRPr="00F42431" w14:paraId="3C297CDB" w14:textId="77777777">
        <w:trPr>
          <w:trHeight w:val="300"/>
        </w:trPr>
        <w:tc>
          <w:tcPr>
            <w:tcW w:w="1005" w:type="dxa"/>
            <w:tcBorders>
              <w:top w:val="single" w:sz="6" w:space="0" w:color="C9D2DE"/>
              <w:left w:val="single" w:sz="6" w:space="0" w:color="AAB4C4"/>
              <w:bottom w:val="single" w:sz="6" w:space="0" w:color="C9D2DE"/>
              <w:right w:val="single" w:sz="6" w:space="0" w:color="C9D2DE"/>
            </w:tcBorders>
            <w:shd w:val="clear" w:color="auto" w:fill="EDF1F7"/>
            <w:hideMark/>
          </w:tcPr>
          <w:p w14:paraId="463FEE16"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Guinea </w:t>
            </w:r>
          </w:p>
        </w:tc>
        <w:tc>
          <w:tcPr>
            <w:tcW w:w="1395" w:type="dxa"/>
            <w:tcBorders>
              <w:top w:val="single" w:sz="6" w:space="0" w:color="C9D2DE"/>
              <w:left w:val="single" w:sz="6" w:space="0" w:color="C9D2DE"/>
              <w:bottom w:val="single" w:sz="6" w:space="0" w:color="C9D2DE"/>
              <w:right w:val="single" w:sz="6" w:space="0" w:color="C9D2DE"/>
            </w:tcBorders>
            <w:shd w:val="clear" w:color="auto" w:fill="EDF1F7"/>
            <w:hideMark/>
          </w:tcPr>
          <w:p w14:paraId="1D9D90E5"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Transport; urban mobility </w:t>
            </w:r>
          </w:p>
        </w:tc>
        <w:tc>
          <w:tcPr>
            <w:tcW w:w="1530" w:type="dxa"/>
            <w:tcBorders>
              <w:top w:val="single" w:sz="6" w:space="0" w:color="C9D2DE"/>
              <w:left w:val="single" w:sz="6" w:space="0" w:color="C9D2DE"/>
              <w:bottom w:val="single" w:sz="6" w:space="0" w:color="C9D2DE"/>
              <w:right w:val="single" w:sz="6" w:space="0" w:color="C9D2DE"/>
            </w:tcBorders>
            <w:shd w:val="clear" w:color="auto" w:fill="EDF1F7"/>
            <w:hideMark/>
          </w:tcPr>
          <w:p w14:paraId="40CC5EEF"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No MOU documented </w:t>
            </w:r>
          </w:p>
        </w:tc>
        <w:tc>
          <w:tcPr>
            <w:tcW w:w="1035" w:type="dxa"/>
            <w:tcBorders>
              <w:top w:val="single" w:sz="6" w:space="0" w:color="C9D2DE"/>
              <w:left w:val="single" w:sz="6" w:space="0" w:color="C9D2DE"/>
              <w:bottom w:val="single" w:sz="6" w:space="0" w:color="C9D2DE"/>
              <w:right w:val="single" w:sz="6" w:space="0" w:color="C9D2DE"/>
            </w:tcBorders>
            <w:shd w:val="clear" w:color="auto" w:fill="EDF1F7"/>
            <w:hideMark/>
          </w:tcPr>
          <w:p w14:paraId="7B62C412"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Pre-Foundation </w:t>
            </w:r>
          </w:p>
        </w:tc>
        <w:tc>
          <w:tcPr>
            <w:tcW w:w="1020" w:type="dxa"/>
            <w:tcBorders>
              <w:top w:val="single" w:sz="6" w:space="0" w:color="C9D2DE"/>
              <w:left w:val="single" w:sz="6" w:space="0" w:color="C9D2DE"/>
              <w:bottom w:val="single" w:sz="6" w:space="0" w:color="C9D2DE"/>
              <w:right w:val="single" w:sz="6" w:space="0" w:color="C9D2DE"/>
            </w:tcBorders>
            <w:shd w:val="clear" w:color="auto" w:fill="EDF1F7"/>
            <w:hideMark/>
          </w:tcPr>
          <w:p w14:paraId="1708F129"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N </w:t>
            </w:r>
          </w:p>
        </w:tc>
        <w:tc>
          <w:tcPr>
            <w:tcW w:w="4185" w:type="dxa"/>
            <w:tcBorders>
              <w:top w:val="single" w:sz="6" w:space="0" w:color="C9D2DE"/>
              <w:left w:val="single" w:sz="6" w:space="0" w:color="C9D2DE"/>
              <w:bottom w:val="single" w:sz="6" w:space="0" w:color="C9D2DE"/>
              <w:right w:val="single" w:sz="6" w:space="0" w:color="AAB4C4"/>
            </w:tcBorders>
            <w:shd w:val="clear" w:color="auto" w:fill="EDF1F7"/>
            <w:hideMark/>
          </w:tcPr>
          <w:p w14:paraId="4D1866B8"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kern w:val="0"/>
                <w:sz w:val="19"/>
                <w:szCs w:val="19"/>
                <w14:ligatures w14:val="none"/>
              </w:rPr>
              <w:t> </w:t>
            </w:r>
          </w:p>
        </w:tc>
      </w:tr>
      <w:tr w:rsidR="00F42431" w:rsidRPr="00F42431" w14:paraId="36066BFA" w14:textId="77777777">
        <w:trPr>
          <w:trHeight w:val="300"/>
        </w:trPr>
        <w:tc>
          <w:tcPr>
            <w:tcW w:w="1005" w:type="dxa"/>
            <w:tcBorders>
              <w:top w:val="single" w:sz="6" w:space="0" w:color="C9D2DE"/>
              <w:left w:val="single" w:sz="6" w:space="0" w:color="AAB4C4"/>
              <w:bottom w:val="single" w:sz="6" w:space="0" w:color="C9D2DE"/>
              <w:right w:val="single" w:sz="6" w:space="0" w:color="C9D2DE"/>
            </w:tcBorders>
            <w:hideMark/>
          </w:tcPr>
          <w:p w14:paraId="1EA7B97F"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Haiti </w:t>
            </w:r>
          </w:p>
        </w:tc>
        <w:tc>
          <w:tcPr>
            <w:tcW w:w="1395" w:type="dxa"/>
            <w:tcBorders>
              <w:top w:val="single" w:sz="6" w:space="0" w:color="C9D2DE"/>
              <w:left w:val="single" w:sz="6" w:space="0" w:color="C9D2DE"/>
              <w:bottom w:val="single" w:sz="6" w:space="0" w:color="C9D2DE"/>
              <w:right w:val="single" w:sz="6" w:space="0" w:color="C9D2DE"/>
            </w:tcBorders>
            <w:hideMark/>
          </w:tcPr>
          <w:p w14:paraId="2384121C"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Dynamic poverty mapping for social assistancetargeting </w:t>
            </w:r>
          </w:p>
        </w:tc>
        <w:tc>
          <w:tcPr>
            <w:tcW w:w="1530" w:type="dxa"/>
            <w:tcBorders>
              <w:top w:val="single" w:sz="6" w:space="0" w:color="C9D2DE"/>
              <w:left w:val="single" w:sz="6" w:space="0" w:color="C9D2DE"/>
              <w:bottom w:val="single" w:sz="6" w:space="0" w:color="C9D2DE"/>
              <w:right w:val="single" w:sz="6" w:space="0" w:color="C9D2DE"/>
            </w:tcBorders>
            <w:hideMark/>
          </w:tcPr>
          <w:p w14:paraId="1CB76EE7"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MOU drafted; existing DSA with Digicel (via Flowminder) under renewal </w:t>
            </w:r>
          </w:p>
        </w:tc>
        <w:tc>
          <w:tcPr>
            <w:tcW w:w="1035" w:type="dxa"/>
            <w:tcBorders>
              <w:top w:val="single" w:sz="6" w:space="0" w:color="C9D2DE"/>
              <w:left w:val="single" w:sz="6" w:space="0" w:color="C9D2DE"/>
              <w:bottom w:val="single" w:sz="6" w:space="0" w:color="C9D2DE"/>
              <w:right w:val="single" w:sz="6" w:space="0" w:color="C9D2DE"/>
            </w:tcBorders>
            <w:hideMark/>
          </w:tcPr>
          <w:p w14:paraId="44264645"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Foundation </w:t>
            </w:r>
          </w:p>
        </w:tc>
        <w:tc>
          <w:tcPr>
            <w:tcW w:w="1020" w:type="dxa"/>
            <w:tcBorders>
              <w:top w:val="single" w:sz="6" w:space="0" w:color="C9D2DE"/>
              <w:left w:val="single" w:sz="6" w:space="0" w:color="C9D2DE"/>
              <w:bottom w:val="single" w:sz="6" w:space="0" w:color="C9D2DE"/>
              <w:right w:val="single" w:sz="6" w:space="0" w:color="C9D2DE"/>
            </w:tcBorders>
            <w:hideMark/>
          </w:tcPr>
          <w:p w14:paraId="0B62A14F"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N </w:t>
            </w:r>
          </w:p>
        </w:tc>
        <w:tc>
          <w:tcPr>
            <w:tcW w:w="4185" w:type="dxa"/>
            <w:tcBorders>
              <w:top w:val="single" w:sz="6" w:space="0" w:color="C9D2DE"/>
              <w:left w:val="single" w:sz="6" w:space="0" w:color="C9D2DE"/>
              <w:bottom w:val="single" w:sz="6" w:space="0" w:color="C9D2DE"/>
              <w:right w:val="single" w:sz="6" w:space="0" w:color="AAB4C4"/>
            </w:tcBorders>
            <w:hideMark/>
          </w:tcPr>
          <w:p w14:paraId="61D2F7D0"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 Counterparts include IHSI, MAST, DGPC and CNSA. </w:t>
            </w:r>
          </w:p>
          <w:p w14:paraId="7579D587"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 Flowminder-Digicel data sharing arrangement has been renewed – Flowminder are producing statistics with Digicel data  </w:t>
            </w:r>
          </w:p>
          <w:p w14:paraId="5E019C9E"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 Digicel have also formally recognized Flowminder’scollaboration with the World Bank and IHSI. </w:t>
            </w:r>
          </w:p>
          <w:p w14:paraId="7EE24DE9"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 Supporting IHSI to pursue a (direct) data sharing agreement with Natcom, Haiti’s second largest MNO (Sep 26) </w:t>
            </w:r>
          </w:p>
          <w:p w14:paraId="4AD3CECB"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 Using Digicel’s MPD (processed by Flowminder) to help build/validate an integrated master sample for Haiti’s upcoming household surveys </w:t>
            </w:r>
          </w:p>
          <w:p w14:paraId="3AB111D8"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kern w:val="0"/>
                <w:sz w:val="19"/>
                <w:szCs w:val="19"/>
                <w14:ligatures w14:val="none"/>
              </w:rPr>
              <w:t> </w:t>
            </w:r>
          </w:p>
        </w:tc>
      </w:tr>
      <w:tr w:rsidR="00F42431" w:rsidRPr="00F42431" w14:paraId="10B611A5" w14:textId="77777777">
        <w:trPr>
          <w:trHeight w:val="300"/>
        </w:trPr>
        <w:tc>
          <w:tcPr>
            <w:tcW w:w="1005" w:type="dxa"/>
            <w:tcBorders>
              <w:top w:val="single" w:sz="6" w:space="0" w:color="C9D2DE"/>
              <w:left w:val="single" w:sz="6" w:space="0" w:color="AAB4C4"/>
              <w:bottom w:val="single" w:sz="6" w:space="0" w:color="C9D2DE"/>
              <w:right w:val="single" w:sz="6" w:space="0" w:color="C9D2DE"/>
            </w:tcBorders>
            <w:shd w:val="clear" w:color="auto" w:fill="EDF1F7"/>
            <w:hideMark/>
          </w:tcPr>
          <w:p w14:paraId="2F692DDD"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India </w:t>
            </w:r>
          </w:p>
        </w:tc>
        <w:tc>
          <w:tcPr>
            <w:tcW w:w="1395" w:type="dxa"/>
            <w:tcBorders>
              <w:top w:val="single" w:sz="6" w:space="0" w:color="C9D2DE"/>
              <w:left w:val="single" w:sz="6" w:space="0" w:color="C9D2DE"/>
              <w:bottom w:val="single" w:sz="6" w:space="0" w:color="C9D2DE"/>
              <w:right w:val="single" w:sz="6" w:space="0" w:color="C9D2DE"/>
            </w:tcBorders>
            <w:shd w:val="clear" w:color="auto" w:fill="EDF1F7"/>
            <w:hideMark/>
          </w:tcPr>
          <w:p w14:paraId="71113B2B"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Public health; crisis monitoring, Tourism </w:t>
            </w:r>
          </w:p>
        </w:tc>
        <w:tc>
          <w:tcPr>
            <w:tcW w:w="1530" w:type="dxa"/>
            <w:tcBorders>
              <w:top w:val="single" w:sz="6" w:space="0" w:color="C9D2DE"/>
              <w:left w:val="single" w:sz="6" w:space="0" w:color="C9D2DE"/>
              <w:bottom w:val="single" w:sz="6" w:space="0" w:color="C9D2DE"/>
              <w:right w:val="single" w:sz="6" w:space="0" w:color="C9D2DE"/>
            </w:tcBorders>
            <w:shd w:val="clear" w:color="auto" w:fill="EDF1F7"/>
            <w:hideMark/>
          </w:tcPr>
          <w:p w14:paraId="3D17D031"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MOU signed </w:t>
            </w:r>
          </w:p>
        </w:tc>
        <w:tc>
          <w:tcPr>
            <w:tcW w:w="1035" w:type="dxa"/>
            <w:tcBorders>
              <w:top w:val="single" w:sz="6" w:space="0" w:color="C9D2DE"/>
              <w:left w:val="single" w:sz="6" w:space="0" w:color="C9D2DE"/>
              <w:bottom w:val="single" w:sz="6" w:space="0" w:color="C9D2DE"/>
              <w:right w:val="single" w:sz="6" w:space="0" w:color="C9D2DE"/>
            </w:tcBorders>
            <w:shd w:val="clear" w:color="auto" w:fill="EDF1F7"/>
            <w:hideMark/>
          </w:tcPr>
          <w:p w14:paraId="559AAD1C"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Foundation </w:t>
            </w:r>
          </w:p>
        </w:tc>
        <w:tc>
          <w:tcPr>
            <w:tcW w:w="1020" w:type="dxa"/>
            <w:tcBorders>
              <w:top w:val="single" w:sz="6" w:space="0" w:color="C9D2DE"/>
              <w:left w:val="single" w:sz="6" w:space="0" w:color="C9D2DE"/>
              <w:bottom w:val="single" w:sz="6" w:space="0" w:color="C9D2DE"/>
              <w:right w:val="single" w:sz="6" w:space="0" w:color="C9D2DE"/>
            </w:tcBorders>
            <w:shd w:val="clear" w:color="auto" w:fill="EDF1F7"/>
            <w:hideMark/>
          </w:tcPr>
          <w:p w14:paraId="29EFE5B0"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kern w:val="0"/>
                <w:sz w:val="19"/>
                <w:szCs w:val="19"/>
                <w14:ligatures w14:val="none"/>
              </w:rPr>
              <w:t>Y </w:t>
            </w:r>
          </w:p>
        </w:tc>
        <w:tc>
          <w:tcPr>
            <w:tcW w:w="4185" w:type="dxa"/>
            <w:tcBorders>
              <w:top w:val="single" w:sz="6" w:space="0" w:color="C9D2DE"/>
              <w:left w:val="single" w:sz="6" w:space="0" w:color="C9D2DE"/>
              <w:bottom w:val="single" w:sz="6" w:space="0" w:color="C9D2DE"/>
              <w:right w:val="single" w:sz="6" w:space="0" w:color="AAB4C4"/>
            </w:tcBorders>
            <w:shd w:val="clear" w:color="auto" w:fill="EDF1F7"/>
            <w:hideMark/>
          </w:tcPr>
          <w:p w14:paraId="734B5498" w14:textId="77777777" w:rsidR="00F42431" w:rsidRPr="00F42431" w:rsidRDefault="00F42431" w:rsidP="00F42431">
            <w:pPr>
              <w:shd w:val="clear" w:color="auto" w:fill="FDFBFA"/>
              <w:spacing w:after="0" w:line="240" w:lineRule="auto"/>
              <w:ind w:left="360"/>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20817"/>
                <w:kern w:val="0"/>
                <w:sz w:val="18"/>
                <w:szCs w:val="18"/>
                <w14:ligatures w14:val="none"/>
              </w:rPr>
              <w:t> </w:t>
            </w:r>
          </w:p>
          <w:p w14:paraId="2BF94C3F" w14:textId="77777777" w:rsidR="00F42431" w:rsidRPr="00F42431" w:rsidRDefault="00F42431" w:rsidP="00F42431">
            <w:pPr>
              <w:numPr>
                <w:ilvl w:val="0"/>
                <w:numId w:val="7"/>
              </w:numPr>
              <w:spacing w:after="0" w:line="240" w:lineRule="auto"/>
              <w:ind w:firstLine="0"/>
              <w:textAlignment w:val="baseline"/>
              <w:rPr>
                <w:rFonts w:ascii="Calibri" w:eastAsia="Times New Roman" w:hAnsi="Calibri" w:cs="Calibri"/>
                <w:kern w:val="0"/>
                <w:sz w:val="18"/>
                <w:szCs w:val="18"/>
                <w14:ligatures w14:val="none"/>
              </w:rPr>
            </w:pPr>
            <w:r w:rsidRPr="00F42431">
              <w:rPr>
                <w:rFonts w:ascii="Calibri" w:eastAsia="Times New Roman" w:hAnsi="Calibri" w:cs="Calibri"/>
                <w:color w:val="020817"/>
                <w:kern w:val="0"/>
                <w:sz w:val="18"/>
                <w:szCs w:val="18"/>
                <w14:ligatures w14:val="none"/>
              </w:rPr>
              <w:t xml:space="preserve">It is among the first major studies in India to leveragehigh-volume </w:t>
            </w:r>
            <w:r w:rsidRPr="00F42431">
              <w:rPr>
                <w:rFonts w:ascii="Calibri" w:eastAsia="Times New Roman" w:hAnsi="Calibri" w:cs="Calibri"/>
                <w:color w:val="020817"/>
                <w:kern w:val="0"/>
                <w:sz w:val="18"/>
                <w:szCs w:val="18"/>
                <w14:ligatures w14:val="none"/>
              </w:rPr>
              <w:lastRenderedPageBreak/>
              <w:t>mobility data to systematically map tourist movement patterns. </w:t>
            </w:r>
          </w:p>
          <w:p w14:paraId="15EEDE7D" w14:textId="77777777" w:rsidR="00F42431" w:rsidRPr="00F42431" w:rsidRDefault="00F42431" w:rsidP="00F42431">
            <w:pPr>
              <w:numPr>
                <w:ilvl w:val="0"/>
                <w:numId w:val="8"/>
              </w:numPr>
              <w:spacing w:after="0" w:line="240" w:lineRule="auto"/>
              <w:ind w:firstLine="0"/>
              <w:textAlignment w:val="baseline"/>
              <w:rPr>
                <w:rFonts w:ascii="Calibri" w:eastAsia="Times New Roman" w:hAnsi="Calibri" w:cs="Calibri"/>
                <w:kern w:val="0"/>
                <w:sz w:val="18"/>
                <w:szCs w:val="18"/>
                <w14:ligatures w14:val="none"/>
              </w:rPr>
            </w:pPr>
            <w:r w:rsidRPr="00F42431">
              <w:rPr>
                <w:rFonts w:ascii="Calibri" w:eastAsia="Times New Roman" w:hAnsi="Calibri" w:cs="Calibri"/>
                <w:color w:val="020817"/>
                <w:kern w:val="0"/>
                <w:sz w:val="18"/>
                <w:szCs w:val="18"/>
                <w14:ligatures w14:val="none"/>
              </w:rPr>
              <w:t>The scale and volume of data used are unprecedented for a tourism analytics exercise in the country. </w:t>
            </w:r>
          </w:p>
          <w:p w14:paraId="07DA0D79" w14:textId="77777777" w:rsidR="00F42431" w:rsidRPr="00F42431" w:rsidRDefault="00F42431" w:rsidP="00F42431">
            <w:pPr>
              <w:numPr>
                <w:ilvl w:val="0"/>
                <w:numId w:val="9"/>
              </w:numPr>
              <w:spacing w:after="0" w:line="240" w:lineRule="auto"/>
              <w:ind w:firstLine="0"/>
              <w:textAlignment w:val="baseline"/>
              <w:rPr>
                <w:rFonts w:ascii="Calibri" w:eastAsia="Times New Roman" w:hAnsi="Calibri" w:cs="Calibri"/>
                <w:kern w:val="0"/>
                <w:sz w:val="18"/>
                <w:szCs w:val="18"/>
                <w14:ligatures w14:val="none"/>
              </w:rPr>
            </w:pPr>
            <w:r w:rsidRPr="00F42431">
              <w:rPr>
                <w:rFonts w:ascii="Calibri" w:eastAsia="Times New Roman" w:hAnsi="Calibri" w:cs="Calibri"/>
                <w:color w:val="020817"/>
                <w:kern w:val="0"/>
                <w:sz w:val="18"/>
                <w:szCs w:val="18"/>
                <w14:ligatures w14:val="none"/>
              </w:rPr>
              <w:t>Letter of Intent signed between Government of Maharashtra and Reliance Jio (Jul 2025) </w:t>
            </w:r>
          </w:p>
          <w:p w14:paraId="534386F0" w14:textId="77777777" w:rsidR="00F42431" w:rsidRPr="00F42431" w:rsidRDefault="00F42431" w:rsidP="00F42431">
            <w:pPr>
              <w:numPr>
                <w:ilvl w:val="0"/>
                <w:numId w:val="10"/>
              </w:numPr>
              <w:spacing w:after="0" w:line="240" w:lineRule="auto"/>
              <w:ind w:firstLine="0"/>
              <w:textAlignment w:val="baseline"/>
              <w:rPr>
                <w:rFonts w:ascii="Calibri" w:eastAsia="Times New Roman" w:hAnsi="Calibri" w:cs="Calibri"/>
                <w:kern w:val="0"/>
                <w:sz w:val="18"/>
                <w:szCs w:val="18"/>
                <w14:ligatures w14:val="none"/>
              </w:rPr>
            </w:pPr>
            <w:r w:rsidRPr="00F42431">
              <w:rPr>
                <w:rFonts w:ascii="Calibri" w:eastAsia="Times New Roman" w:hAnsi="Calibri" w:cs="Calibri"/>
                <w:color w:val="020817"/>
                <w:kern w:val="0"/>
                <w:sz w:val="18"/>
                <w:szCs w:val="18"/>
                <w14:ligatures w14:val="none"/>
              </w:rPr>
              <w:t>Pilot completed mapping tourist patterns across Maharashtra with Jio, MITRA, Department of Toursim. </w:t>
            </w:r>
          </w:p>
          <w:p w14:paraId="609C96ED" w14:textId="77777777" w:rsidR="00F42431" w:rsidRPr="00F42431" w:rsidRDefault="00F42431" w:rsidP="00F42431">
            <w:pPr>
              <w:numPr>
                <w:ilvl w:val="0"/>
                <w:numId w:val="11"/>
              </w:numPr>
              <w:spacing w:after="0" w:line="240" w:lineRule="auto"/>
              <w:ind w:firstLine="0"/>
              <w:textAlignment w:val="baseline"/>
              <w:rPr>
                <w:rFonts w:ascii="Calibri" w:eastAsia="Times New Roman" w:hAnsi="Calibri" w:cs="Calibri"/>
                <w:kern w:val="0"/>
                <w:sz w:val="18"/>
                <w:szCs w:val="18"/>
                <w14:ligatures w14:val="none"/>
              </w:rPr>
            </w:pPr>
            <w:r w:rsidRPr="00F42431">
              <w:rPr>
                <w:rFonts w:ascii="Calibri" w:eastAsia="Times New Roman" w:hAnsi="Calibri" w:cs="Calibri"/>
                <w:color w:val="020817"/>
                <w:kern w:val="0"/>
                <w:sz w:val="18"/>
                <w:szCs w:val="18"/>
                <w14:ligatures w14:val="none"/>
              </w:rPr>
              <w:t>Preliminary results presented to Ministry of Tourism and MoSPI; featured at National Workshop on Alternate Data Sources (Jun 2025) </w:t>
            </w:r>
          </w:p>
          <w:p w14:paraId="7256F7F5" w14:textId="77777777" w:rsidR="00F42431" w:rsidRPr="00F42431" w:rsidRDefault="00F42431" w:rsidP="00F42431">
            <w:pPr>
              <w:numPr>
                <w:ilvl w:val="0"/>
                <w:numId w:val="12"/>
              </w:numPr>
              <w:spacing w:after="0" w:line="240" w:lineRule="auto"/>
              <w:ind w:firstLine="0"/>
              <w:textAlignment w:val="baseline"/>
              <w:rPr>
                <w:rFonts w:ascii="Calibri" w:eastAsia="Times New Roman" w:hAnsi="Calibri" w:cs="Calibri"/>
                <w:kern w:val="0"/>
                <w:sz w:val="18"/>
                <w:szCs w:val="18"/>
                <w14:ligatures w14:val="none"/>
              </w:rPr>
            </w:pPr>
            <w:r w:rsidRPr="00F42431">
              <w:rPr>
                <w:rFonts w:ascii="Calibri" w:eastAsia="Times New Roman" w:hAnsi="Calibri" w:cs="Calibri"/>
                <w:color w:val="020817"/>
                <w:kern w:val="0"/>
                <w:sz w:val="18"/>
                <w:szCs w:val="18"/>
                <w14:ligatures w14:val="none"/>
              </w:rPr>
              <w:t>Preliminary tourism results circulated and reviewed through Bank processes (Jul 2026) </w:t>
            </w:r>
          </w:p>
          <w:p w14:paraId="0D73677F" w14:textId="77777777" w:rsidR="00F42431" w:rsidRPr="00F42431" w:rsidRDefault="00F42431" w:rsidP="00F42431">
            <w:pPr>
              <w:numPr>
                <w:ilvl w:val="0"/>
                <w:numId w:val="13"/>
              </w:numPr>
              <w:spacing w:after="0" w:line="240" w:lineRule="auto"/>
              <w:ind w:firstLine="0"/>
              <w:textAlignment w:val="baseline"/>
              <w:rPr>
                <w:rFonts w:ascii="Calibri" w:eastAsia="Times New Roman" w:hAnsi="Calibri" w:cs="Calibri"/>
                <w:kern w:val="0"/>
                <w:sz w:val="18"/>
                <w:szCs w:val="18"/>
                <w14:ligatures w14:val="none"/>
              </w:rPr>
            </w:pPr>
            <w:r w:rsidRPr="00F42431">
              <w:rPr>
                <w:rFonts w:ascii="Calibri" w:eastAsia="Times New Roman" w:hAnsi="Calibri" w:cs="Calibri"/>
                <w:color w:val="020817"/>
                <w:kern w:val="0"/>
                <w:sz w:val="18"/>
                <w:szCs w:val="18"/>
                <w14:ligatures w14:val="none"/>
              </w:rPr>
              <w:t>Top-up (Phase 2): scaling in Maharashtra through Bank lending operation and a second state (Goa or Odisha) </w:t>
            </w:r>
          </w:p>
          <w:p w14:paraId="1F561F6C" w14:textId="77777777" w:rsidR="00F42431" w:rsidRPr="00F42431" w:rsidRDefault="00F42431" w:rsidP="00F42431">
            <w:pPr>
              <w:numPr>
                <w:ilvl w:val="0"/>
                <w:numId w:val="14"/>
              </w:numPr>
              <w:shd w:val="clear" w:color="auto" w:fill="FDFBFA"/>
              <w:spacing w:after="0" w:line="240" w:lineRule="auto"/>
              <w:ind w:firstLine="0"/>
              <w:textAlignment w:val="baseline"/>
              <w:rPr>
                <w:rFonts w:ascii="Calibri" w:eastAsia="Times New Roman" w:hAnsi="Calibri" w:cs="Calibri"/>
                <w:kern w:val="0"/>
                <w:sz w:val="18"/>
                <w:szCs w:val="18"/>
                <w14:ligatures w14:val="none"/>
              </w:rPr>
            </w:pPr>
            <w:r w:rsidRPr="00F42431">
              <w:rPr>
                <w:rFonts w:ascii="Calibri" w:eastAsia="Times New Roman" w:hAnsi="Calibri" w:cs="Calibri"/>
                <w:color w:val="020817"/>
                <w:kern w:val="0"/>
                <w:sz w:val="18"/>
                <w:szCs w:val="18"/>
                <w14:ligatures w14:val="none"/>
              </w:rPr>
              <w:t> </w:t>
            </w:r>
          </w:p>
          <w:p w14:paraId="4600331F"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20817"/>
                <w:kern w:val="0"/>
                <w:sz w:val="18"/>
                <w:szCs w:val="18"/>
                <w14:ligatures w14:val="none"/>
              </w:rPr>
              <w:t> </w:t>
            </w:r>
          </w:p>
        </w:tc>
      </w:tr>
      <w:tr w:rsidR="00F42431" w:rsidRPr="00F42431" w14:paraId="334CF1E0" w14:textId="77777777">
        <w:trPr>
          <w:trHeight w:val="300"/>
        </w:trPr>
        <w:tc>
          <w:tcPr>
            <w:tcW w:w="1005" w:type="dxa"/>
            <w:tcBorders>
              <w:top w:val="single" w:sz="6" w:space="0" w:color="C9D2DE"/>
              <w:left w:val="single" w:sz="6" w:space="0" w:color="AAB4C4"/>
              <w:bottom w:val="single" w:sz="6" w:space="0" w:color="C9D2DE"/>
              <w:right w:val="single" w:sz="6" w:space="0" w:color="C9D2DE"/>
            </w:tcBorders>
            <w:hideMark/>
          </w:tcPr>
          <w:p w14:paraId="33CF9134"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lastRenderedPageBreak/>
              <w:t>Kazakhstan </w:t>
            </w:r>
          </w:p>
        </w:tc>
        <w:tc>
          <w:tcPr>
            <w:tcW w:w="1395" w:type="dxa"/>
            <w:tcBorders>
              <w:top w:val="single" w:sz="6" w:space="0" w:color="C9D2DE"/>
              <w:left w:val="single" w:sz="6" w:space="0" w:color="C9D2DE"/>
              <w:bottom w:val="single" w:sz="6" w:space="0" w:color="C9D2DE"/>
              <w:right w:val="single" w:sz="6" w:space="0" w:color="C9D2DE"/>
            </w:tcBorders>
            <w:hideMark/>
          </w:tcPr>
          <w:p w14:paraId="3D023C73"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Tourism statistics (domestic and inbound) </w:t>
            </w:r>
          </w:p>
        </w:tc>
        <w:tc>
          <w:tcPr>
            <w:tcW w:w="1530" w:type="dxa"/>
            <w:tcBorders>
              <w:top w:val="single" w:sz="6" w:space="0" w:color="C9D2DE"/>
              <w:left w:val="single" w:sz="6" w:space="0" w:color="C9D2DE"/>
              <w:bottom w:val="single" w:sz="6" w:space="0" w:color="C9D2DE"/>
              <w:right w:val="single" w:sz="6" w:space="0" w:color="C9D2DE"/>
            </w:tcBorders>
            <w:hideMark/>
          </w:tcPr>
          <w:p w14:paraId="19D5E956"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MOU signed (Nov 2024); parliamentary decree mandating MPD sharing from Jan 2026 </w:t>
            </w:r>
          </w:p>
        </w:tc>
        <w:tc>
          <w:tcPr>
            <w:tcW w:w="1035" w:type="dxa"/>
            <w:tcBorders>
              <w:top w:val="single" w:sz="6" w:space="0" w:color="C9D2DE"/>
              <w:left w:val="single" w:sz="6" w:space="0" w:color="C9D2DE"/>
              <w:bottom w:val="single" w:sz="6" w:space="0" w:color="C9D2DE"/>
              <w:right w:val="single" w:sz="6" w:space="0" w:color="C9D2DE"/>
            </w:tcBorders>
            <w:hideMark/>
          </w:tcPr>
          <w:p w14:paraId="3E654EC0"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Practitioner </w:t>
            </w:r>
          </w:p>
        </w:tc>
        <w:tc>
          <w:tcPr>
            <w:tcW w:w="1020" w:type="dxa"/>
            <w:tcBorders>
              <w:top w:val="single" w:sz="6" w:space="0" w:color="C9D2DE"/>
              <w:left w:val="single" w:sz="6" w:space="0" w:color="C9D2DE"/>
              <w:bottom w:val="single" w:sz="6" w:space="0" w:color="C9D2DE"/>
              <w:right w:val="single" w:sz="6" w:space="0" w:color="C9D2DE"/>
            </w:tcBorders>
            <w:hideMark/>
          </w:tcPr>
          <w:p w14:paraId="4F8AF2AB"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Y </w:t>
            </w:r>
          </w:p>
        </w:tc>
        <w:tc>
          <w:tcPr>
            <w:tcW w:w="4185" w:type="dxa"/>
            <w:tcBorders>
              <w:top w:val="single" w:sz="6" w:space="0" w:color="C9D2DE"/>
              <w:left w:val="single" w:sz="6" w:space="0" w:color="C9D2DE"/>
              <w:bottom w:val="single" w:sz="6" w:space="0" w:color="C9D2DE"/>
              <w:right w:val="single" w:sz="6" w:space="0" w:color="AAB4C4"/>
            </w:tcBorders>
            <w:hideMark/>
          </w:tcPr>
          <w:p w14:paraId="208C5893"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 MOU signed (Nov 24) </w:t>
            </w:r>
          </w:p>
          <w:p w14:paraId="432EB9B2"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 Advanced implementation with top-up funding.  </w:t>
            </w:r>
          </w:p>
          <w:p w14:paraId="7296C7A4"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 Legislative mandate extends data sharing to all MNOs from Jan 2026.  </w:t>
            </w:r>
          </w:p>
          <w:p w14:paraId="1D75C096"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 Tourism statistic phase one official statistics launched at Digital Bridge, Astana, 30K attendees (Oct 2025) </w:t>
            </w:r>
          </w:p>
          <w:p w14:paraId="496A0472"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kern w:val="0"/>
                <w:sz w:val="18"/>
                <w:szCs w:val="18"/>
                <w14:ligatures w14:val="none"/>
              </w:rPr>
              <w:t>- Preliminary tourism statistics showed 2.4x–4x underreporting vs. official records (Jun 2025) </w:t>
            </w:r>
          </w:p>
          <w:p w14:paraId="03396DF9" w14:textId="77777777" w:rsidR="00F42431" w:rsidRPr="00F42431" w:rsidRDefault="00F42431" w:rsidP="00F42431">
            <w:pPr>
              <w:numPr>
                <w:ilvl w:val="0"/>
                <w:numId w:val="15"/>
              </w:numPr>
              <w:shd w:val="clear" w:color="auto" w:fill="FDFBFA"/>
              <w:spacing w:after="0" w:line="240" w:lineRule="auto"/>
              <w:ind w:firstLine="0"/>
              <w:textAlignment w:val="baseline"/>
              <w:rPr>
                <w:rFonts w:ascii="Calibri" w:eastAsia="Times New Roman" w:hAnsi="Calibri" w:cs="Calibri"/>
                <w:kern w:val="0"/>
                <w:sz w:val="18"/>
                <w:szCs w:val="18"/>
                <w14:ligatures w14:val="none"/>
              </w:rPr>
            </w:pPr>
            <w:r w:rsidRPr="00F42431">
              <w:rPr>
                <w:rFonts w:ascii="Calibri" w:eastAsia="Times New Roman" w:hAnsi="Calibri" w:cs="Calibri"/>
                <w:color w:val="020817"/>
                <w:kern w:val="0"/>
                <w:sz w:val="18"/>
                <w:szCs w:val="18"/>
                <w14:ligatures w14:val="none"/>
              </w:rPr>
              <w:t>Advanced to Practitioner stage; multi-MNO integration and inbound tourism statistics underway </w:t>
            </w:r>
          </w:p>
          <w:p w14:paraId="4D3C93CB" w14:textId="77777777" w:rsidR="00F42431" w:rsidRPr="00F42431" w:rsidRDefault="00F42431" w:rsidP="00F42431">
            <w:pPr>
              <w:numPr>
                <w:ilvl w:val="0"/>
                <w:numId w:val="16"/>
              </w:numPr>
              <w:shd w:val="clear" w:color="auto" w:fill="FDFBFA"/>
              <w:spacing w:after="0" w:line="240" w:lineRule="auto"/>
              <w:ind w:firstLine="0"/>
              <w:textAlignment w:val="baseline"/>
              <w:rPr>
                <w:rFonts w:ascii="Calibri" w:eastAsia="Times New Roman" w:hAnsi="Calibri" w:cs="Calibri"/>
                <w:kern w:val="0"/>
                <w:sz w:val="18"/>
                <w:szCs w:val="18"/>
                <w14:ligatures w14:val="none"/>
              </w:rPr>
            </w:pPr>
            <w:r w:rsidRPr="00F42431">
              <w:rPr>
                <w:rFonts w:ascii="Calibri" w:eastAsia="Times New Roman" w:hAnsi="Calibri" w:cs="Calibri"/>
                <w:color w:val="020817"/>
                <w:kern w:val="0"/>
                <w:sz w:val="18"/>
                <w:szCs w:val="18"/>
                <w14:ligatures w14:val="none"/>
              </w:rPr>
              <w:t>BNS ICC team took over all script development in-house, ensuring pipeline sustainability </w:t>
            </w:r>
          </w:p>
          <w:p w14:paraId="27FE9E47" w14:textId="77777777" w:rsidR="00F42431" w:rsidRPr="00F42431" w:rsidRDefault="00F42431" w:rsidP="00F42431">
            <w:pPr>
              <w:numPr>
                <w:ilvl w:val="0"/>
                <w:numId w:val="17"/>
              </w:numPr>
              <w:shd w:val="clear" w:color="auto" w:fill="FDFBFA"/>
              <w:spacing w:after="0" w:line="240" w:lineRule="auto"/>
              <w:ind w:firstLine="0"/>
              <w:textAlignment w:val="baseline"/>
              <w:rPr>
                <w:rFonts w:ascii="Calibri" w:eastAsia="Times New Roman" w:hAnsi="Calibri" w:cs="Calibri"/>
                <w:kern w:val="0"/>
                <w:sz w:val="18"/>
                <w:szCs w:val="18"/>
                <w14:ligatures w14:val="none"/>
              </w:rPr>
            </w:pPr>
            <w:r w:rsidRPr="00F42431">
              <w:rPr>
                <w:rFonts w:ascii="Calibri" w:eastAsia="Times New Roman" w:hAnsi="Calibri" w:cs="Calibri"/>
                <w:color w:val="020817"/>
                <w:kern w:val="0"/>
                <w:sz w:val="18"/>
                <w:szCs w:val="18"/>
                <w14:ligatures w14:val="none"/>
              </w:rPr>
              <w:t xml:space="preserve">Ministry of Tourism and Sport formally integrating MPD findings into </w:t>
            </w:r>
            <w:r w:rsidRPr="00F42431">
              <w:rPr>
                <w:rFonts w:ascii="Calibri" w:eastAsia="Times New Roman" w:hAnsi="Calibri" w:cs="Calibri"/>
                <w:color w:val="020817"/>
                <w:kern w:val="0"/>
                <w:sz w:val="18"/>
                <w:szCs w:val="18"/>
                <w14:ligatures w14:val="none"/>
              </w:rPr>
              <w:lastRenderedPageBreak/>
              <w:t>infrastructure and strategic planning </w:t>
            </w:r>
          </w:p>
          <w:p w14:paraId="6E0AD7DE" w14:textId="77777777" w:rsidR="00F42431" w:rsidRPr="00F42431" w:rsidRDefault="00F42431" w:rsidP="00F42431">
            <w:pPr>
              <w:numPr>
                <w:ilvl w:val="0"/>
                <w:numId w:val="18"/>
              </w:numPr>
              <w:shd w:val="clear" w:color="auto" w:fill="FDFBFA"/>
              <w:spacing w:after="0" w:line="240" w:lineRule="auto"/>
              <w:ind w:firstLine="0"/>
              <w:textAlignment w:val="baseline"/>
              <w:rPr>
                <w:rFonts w:ascii="Calibri" w:eastAsia="Times New Roman" w:hAnsi="Calibri" w:cs="Calibri"/>
                <w:kern w:val="0"/>
                <w:sz w:val="18"/>
                <w:szCs w:val="18"/>
                <w14:ligatures w14:val="none"/>
              </w:rPr>
            </w:pPr>
            <w:r w:rsidRPr="00F42431">
              <w:rPr>
                <w:rFonts w:ascii="Calibri" w:eastAsia="Times New Roman" w:hAnsi="Calibri" w:cs="Calibri"/>
                <w:color w:val="020817"/>
                <w:kern w:val="0"/>
                <w:sz w:val="18"/>
                <w:szCs w:val="18"/>
                <w14:ligatures w14:val="none"/>
              </w:rPr>
              <w:t>First country in the CIS to transition MPD-derived indicators into official statistics </w:t>
            </w:r>
          </w:p>
          <w:p w14:paraId="310843D4" w14:textId="77777777" w:rsidR="00F42431" w:rsidRPr="00F42431" w:rsidRDefault="00F42431" w:rsidP="00F42431">
            <w:pPr>
              <w:numPr>
                <w:ilvl w:val="0"/>
                <w:numId w:val="19"/>
              </w:numPr>
              <w:shd w:val="clear" w:color="auto" w:fill="FDFBFA"/>
              <w:spacing w:after="0" w:line="240" w:lineRule="auto"/>
              <w:ind w:firstLine="0"/>
              <w:textAlignment w:val="baseline"/>
              <w:rPr>
                <w:rFonts w:ascii="Calibri" w:eastAsia="Times New Roman" w:hAnsi="Calibri" w:cs="Calibri"/>
                <w:kern w:val="0"/>
                <w:sz w:val="18"/>
                <w:szCs w:val="18"/>
                <w14:ligatures w14:val="none"/>
              </w:rPr>
            </w:pPr>
            <w:r w:rsidRPr="00F42431">
              <w:rPr>
                <w:rFonts w:ascii="Calibri" w:eastAsia="Times New Roman" w:hAnsi="Calibri" w:cs="Calibri"/>
                <w:color w:val="020817"/>
                <w:kern w:val="0"/>
                <w:sz w:val="18"/>
                <w:szCs w:val="18"/>
                <w14:ligatures w14:val="none"/>
              </w:rPr>
              <w:t>ICC produced a first set of commuting and migration statistics (June 2026) </w:t>
            </w:r>
          </w:p>
          <w:p w14:paraId="251EF050"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kern w:val="0"/>
                <w:sz w:val="18"/>
                <w:szCs w:val="18"/>
                <w14:ligatures w14:val="none"/>
              </w:rPr>
              <w:t> </w:t>
            </w:r>
          </w:p>
          <w:p w14:paraId="2EF5EDCD" w14:textId="77777777" w:rsidR="00F42431" w:rsidRPr="00F42431" w:rsidRDefault="00F42431" w:rsidP="00F42431">
            <w:pPr>
              <w:spacing w:after="0" w:line="240" w:lineRule="auto"/>
              <w:ind w:left="720"/>
              <w:textAlignment w:val="baseline"/>
              <w:rPr>
                <w:rFonts w:ascii="Segoe UI" w:eastAsia="Times New Roman" w:hAnsi="Segoe UI" w:cs="Segoe UI"/>
                <w:kern w:val="0"/>
                <w:sz w:val="18"/>
                <w:szCs w:val="18"/>
                <w14:ligatures w14:val="none"/>
              </w:rPr>
            </w:pPr>
            <w:r w:rsidRPr="00F42431">
              <w:rPr>
                <w:rFonts w:ascii="Calibri" w:eastAsia="Times New Roman" w:hAnsi="Calibri" w:cs="Calibri"/>
                <w:kern w:val="0"/>
                <w:sz w:val="18"/>
                <w:szCs w:val="18"/>
                <w14:ligatures w14:val="none"/>
              </w:rPr>
              <w:t> </w:t>
            </w:r>
          </w:p>
          <w:p w14:paraId="2BB0A8EA"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 </w:t>
            </w:r>
          </w:p>
        </w:tc>
      </w:tr>
      <w:tr w:rsidR="00F42431" w:rsidRPr="00F42431" w14:paraId="2BE54835" w14:textId="77777777">
        <w:trPr>
          <w:trHeight w:val="300"/>
        </w:trPr>
        <w:tc>
          <w:tcPr>
            <w:tcW w:w="1005" w:type="dxa"/>
            <w:tcBorders>
              <w:top w:val="single" w:sz="6" w:space="0" w:color="C9D2DE"/>
              <w:left w:val="single" w:sz="6" w:space="0" w:color="AAB4C4"/>
              <w:bottom w:val="single" w:sz="6" w:space="0" w:color="C9D2DE"/>
              <w:right w:val="single" w:sz="6" w:space="0" w:color="C9D2DE"/>
            </w:tcBorders>
            <w:shd w:val="clear" w:color="auto" w:fill="EDF1F7"/>
            <w:hideMark/>
          </w:tcPr>
          <w:p w14:paraId="29E7E230"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lastRenderedPageBreak/>
              <w:t>Kenya </w:t>
            </w:r>
          </w:p>
        </w:tc>
        <w:tc>
          <w:tcPr>
            <w:tcW w:w="1395" w:type="dxa"/>
            <w:tcBorders>
              <w:top w:val="single" w:sz="6" w:space="0" w:color="C9D2DE"/>
              <w:left w:val="single" w:sz="6" w:space="0" w:color="C9D2DE"/>
              <w:bottom w:val="single" w:sz="6" w:space="0" w:color="C9D2DE"/>
              <w:right w:val="single" w:sz="6" w:space="0" w:color="C9D2DE"/>
            </w:tcBorders>
            <w:shd w:val="clear" w:color="auto" w:fill="EDF1F7"/>
            <w:hideMark/>
          </w:tcPr>
          <w:p w14:paraId="3FDD0DAD"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Dynamic population mapping; disaster response; transport </w:t>
            </w:r>
          </w:p>
        </w:tc>
        <w:tc>
          <w:tcPr>
            <w:tcW w:w="1530" w:type="dxa"/>
            <w:tcBorders>
              <w:top w:val="single" w:sz="6" w:space="0" w:color="C9D2DE"/>
              <w:left w:val="single" w:sz="6" w:space="0" w:color="C9D2DE"/>
              <w:bottom w:val="single" w:sz="6" w:space="0" w:color="C9D2DE"/>
              <w:right w:val="single" w:sz="6" w:space="0" w:color="C9D2DE"/>
            </w:tcBorders>
            <w:shd w:val="clear" w:color="auto" w:fill="EDF1F7"/>
            <w:hideMark/>
          </w:tcPr>
          <w:p w14:paraId="1E626F34"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MOU signed Jul 26 </w:t>
            </w:r>
          </w:p>
        </w:tc>
        <w:tc>
          <w:tcPr>
            <w:tcW w:w="1035" w:type="dxa"/>
            <w:tcBorders>
              <w:top w:val="single" w:sz="6" w:space="0" w:color="C9D2DE"/>
              <w:left w:val="single" w:sz="6" w:space="0" w:color="C9D2DE"/>
              <w:bottom w:val="single" w:sz="6" w:space="0" w:color="C9D2DE"/>
              <w:right w:val="single" w:sz="6" w:space="0" w:color="C9D2DE"/>
            </w:tcBorders>
            <w:shd w:val="clear" w:color="auto" w:fill="EDF1F7"/>
            <w:hideMark/>
          </w:tcPr>
          <w:p w14:paraId="4150F110"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Foundation </w:t>
            </w:r>
          </w:p>
        </w:tc>
        <w:tc>
          <w:tcPr>
            <w:tcW w:w="1020" w:type="dxa"/>
            <w:tcBorders>
              <w:top w:val="single" w:sz="6" w:space="0" w:color="C9D2DE"/>
              <w:left w:val="single" w:sz="6" w:space="0" w:color="C9D2DE"/>
              <w:bottom w:val="single" w:sz="6" w:space="0" w:color="C9D2DE"/>
              <w:right w:val="single" w:sz="6" w:space="0" w:color="C9D2DE"/>
            </w:tcBorders>
            <w:shd w:val="clear" w:color="auto" w:fill="EDF1F7"/>
            <w:hideMark/>
          </w:tcPr>
          <w:p w14:paraId="593CBE1D"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kern w:val="0"/>
                <w:sz w:val="19"/>
                <w:szCs w:val="19"/>
                <w14:ligatures w14:val="none"/>
              </w:rPr>
              <w:t>Y </w:t>
            </w:r>
          </w:p>
        </w:tc>
        <w:tc>
          <w:tcPr>
            <w:tcW w:w="4185" w:type="dxa"/>
            <w:tcBorders>
              <w:top w:val="single" w:sz="6" w:space="0" w:color="C9D2DE"/>
              <w:left w:val="single" w:sz="6" w:space="0" w:color="C9D2DE"/>
              <w:bottom w:val="single" w:sz="6" w:space="0" w:color="C9D2DE"/>
              <w:right w:val="single" w:sz="6" w:space="0" w:color="AAB4C4"/>
            </w:tcBorders>
            <w:shd w:val="clear" w:color="auto" w:fill="EDF1F7"/>
            <w:hideMark/>
          </w:tcPr>
          <w:p w14:paraId="0A564D6F"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 MOU signed with Safaricom; KNBS, CA and ODPC engaged. Global Data Festival and Kenya Space Expo, Nairobi (Jun 2026) </w:t>
            </w:r>
          </w:p>
        </w:tc>
      </w:tr>
      <w:tr w:rsidR="00F42431" w:rsidRPr="00F42431" w14:paraId="1FACB88C" w14:textId="77777777">
        <w:trPr>
          <w:trHeight w:val="300"/>
        </w:trPr>
        <w:tc>
          <w:tcPr>
            <w:tcW w:w="1005" w:type="dxa"/>
            <w:tcBorders>
              <w:top w:val="single" w:sz="6" w:space="0" w:color="C9D2DE"/>
              <w:left w:val="single" w:sz="6" w:space="0" w:color="AAB4C4"/>
              <w:bottom w:val="single" w:sz="6" w:space="0" w:color="C9D2DE"/>
              <w:right w:val="single" w:sz="6" w:space="0" w:color="C9D2DE"/>
            </w:tcBorders>
            <w:hideMark/>
          </w:tcPr>
          <w:p w14:paraId="160FEB87"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Mongolia </w:t>
            </w:r>
          </w:p>
        </w:tc>
        <w:tc>
          <w:tcPr>
            <w:tcW w:w="1395" w:type="dxa"/>
            <w:tcBorders>
              <w:top w:val="single" w:sz="6" w:space="0" w:color="C9D2DE"/>
              <w:left w:val="single" w:sz="6" w:space="0" w:color="C9D2DE"/>
              <w:bottom w:val="single" w:sz="6" w:space="0" w:color="C9D2DE"/>
              <w:right w:val="single" w:sz="6" w:space="0" w:color="C9D2DE"/>
            </w:tcBorders>
            <w:hideMark/>
          </w:tcPr>
          <w:p w14:paraId="7BCB5E73"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Migration and information society statistics </w:t>
            </w:r>
          </w:p>
        </w:tc>
        <w:tc>
          <w:tcPr>
            <w:tcW w:w="1530" w:type="dxa"/>
            <w:tcBorders>
              <w:top w:val="single" w:sz="6" w:space="0" w:color="C9D2DE"/>
              <w:left w:val="single" w:sz="6" w:space="0" w:color="C9D2DE"/>
              <w:bottom w:val="single" w:sz="6" w:space="0" w:color="C9D2DE"/>
              <w:right w:val="single" w:sz="6" w:space="0" w:color="C9D2DE"/>
            </w:tcBorders>
            <w:hideMark/>
          </w:tcPr>
          <w:p w14:paraId="43F35BC3"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MOU signed (2025) </w:t>
            </w:r>
          </w:p>
        </w:tc>
        <w:tc>
          <w:tcPr>
            <w:tcW w:w="1035" w:type="dxa"/>
            <w:tcBorders>
              <w:top w:val="single" w:sz="6" w:space="0" w:color="C9D2DE"/>
              <w:left w:val="single" w:sz="6" w:space="0" w:color="C9D2DE"/>
              <w:bottom w:val="single" w:sz="6" w:space="0" w:color="C9D2DE"/>
              <w:right w:val="single" w:sz="6" w:space="0" w:color="C9D2DE"/>
            </w:tcBorders>
            <w:hideMark/>
          </w:tcPr>
          <w:p w14:paraId="6A141696"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Foundation </w:t>
            </w:r>
          </w:p>
        </w:tc>
        <w:tc>
          <w:tcPr>
            <w:tcW w:w="1020" w:type="dxa"/>
            <w:tcBorders>
              <w:top w:val="single" w:sz="6" w:space="0" w:color="C9D2DE"/>
              <w:left w:val="single" w:sz="6" w:space="0" w:color="C9D2DE"/>
              <w:bottom w:val="single" w:sz="6" w:space="0" w:color="C9D2DE"/>
              <w:right w:val="single" w:sz="6" w:space="0" w:color="C9D2DE"/>
            </w:tcBorders>
            <w:hideMark/>
          </w:tcPr>
          <w:p w14:paraId="1FB37506"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kern w:val="0"/>
                <w:sz w:val="19"/>
                <w:szCs w:val="19"/>
                <w14:ligatures w14:val="none"/>
              </w:rPr>
              <w:t>Y (proposal submitted) </w:t>
            </w:r>
          </w:p>
        </w:tc>
        <w:tc>
          <w:tcPr>
            <w:tcW w:w="4185" w:type="dxa"/>
            <w:tcBorders>
              <w:top w:val="single" w:sz="6" w:space="0" w:color="C9D2DE"/>
              <w:left w:val="single" w:sz="6" w:space="0" w:color="C9D2DE"/>
              <w:bottom w:val="single" w:sz="6" w:space="0" w:color="C9D2DE"/>
              <w:right w:val="single" w:sz="6" w:space="0" w:color="AAB4C4"/>
            </w:tcBorders>
            <w:hideMark/>
          </w:tcPr>
          <w:p w14:paraId="429D3CAC"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-GDF workshop (Oct 2024): stakeholders aligned on migration use case for nomadic/rural-to-urban mobility gaps  </w:t>
            </w:r>
          </w:p>
          <w:p w14:paraId="252D75FE"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 </w:t>
            </w:r>
          </w:p>
          <w:p w14:paraId="5C144D24"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-Tripartite MoU signed: Mobicom, CRC, and NSO (Jul 2025)   </w:t>
            </w:r>
          </w:p>
          <w:p w14:paraId="11E03CF1"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 </w:t>
            </w:r>
          </w:p>
          <w:p w14:paraId="628E9B60"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 Follow-up workshop (Apr 2025) with Positium and ITU on data privacy and best practices </w:t>
            </w:r>
            <w:r w:rsidRPr="00F42431">
              <w:rPr>
                <w:rFonts w:ascii="Calibri" w:eastAsia="Times New Roman" w:hAnsi="Calibri" w:cs="Calibri"/>
                <w:kern w:val="0"/>
                <w:sz w:val="18"/>
                <w:szCs w:val="18"/>
                <w14:ligatures w14:val="none"/>
              </w:rPr>
              <w:t>- Phase 3 proposal submitted (Sep 26) </w:t>
            </w:r>
          </w:p>
          <w:p w14:paraId="13EBAA10" w14:textId="77777777" w:rsidR="00F42431" w:rsidRPr="00F42431" w:rsidRDefault="00F42431" w:rsidP="00F42431">
            <w:pPr>
              <w:numPr>
                <w:ilvl w:val="0"/>
                <w:numId w:val="20"/>
              </w:numPr>
              <w:shd w:val="clear" w:color="auto" w:fill="FDFBFA"/>
              <w:spacing w:after="0" w:line="240" w:lineRule="auto"/>
              <w:ind w:firstLine="0"/>
              <w:textAlignment w:val="baseline"/>
              <w:rPr>
                <w:rFonts w:ascii="Calibri" w:eastAsia="Times New Roman" w:hAnsi="Calibri" w:cs="Calibri"/>
                <w:kern w:val="0"/>
                <w:sz w:val="18"/>
                <w:szCs w:val="18"/>
                <w14:ligatures w14:val="none"/>
              </w:rPr>
            </w:pPr>
            <w:r w:rsidRPr="00F42431">
              <w:rPr>
                <w:rFonts w:ascii="Calibri" w:eastAsia="Times New Roman" w:hAnsi="Calibri" w:cs="Calibri"/>
                <w:color w:val="020817"/>
                <w:kern w:val="0"/>
                <w:sz w:val="18"/>
                <w:szCs w:val="18"/>
                <w14:ligatures w14:val="none"/>
              </w:rPr>
              <w:t>First use case completed: population and internal migration statistics; pipeline validated at National Data Center </w:t>
            </w:r>
          </w:p>
          <w:p w14:paraId="52E7E8C6" w14:textId="77777777" w:rsidR="00F42431" w:rsidRPr="00F42431" w:rsidRDefault="00F42431" w:rsidP="00F42431">
            <w:pPr>
              <w:numPr>
                <w:ilvl w:val="0"/>
                <w:numId w:val="21"/>
              </w:numPr>
              <w:shd w:val="clear" w:color="auto" w:fill="FDFBFA"/>
              <w:spacing w:after="0" w:line="240" w:lineRule="auto"/>
              <w:ind w:firstLine="0"/>
              <w:textAlignment w:val="baseline"/>
              <w:rPr>
                <w:rFonts w:ascii="Calibri" w:eastAsia="Times New Roman" w:hAnsi="Calibri" w:cs="Calibri"/>
                <w:kern w:val="0"/>
                <w:sz w:val="18"/>
                <w:szCs w:val="18"/>
                <w14:ligatures w14:val="none"/>
              </w:rPr>
            </w:pPr>
            <w:r w:rsidRPr="00F42431">
              <w:rPr>
                <w:rFonts w:ascii="Calibri" w:eastAsia="Times New Roman" w:hAnsi="Calibri" w:cs="Calibri"/>
                <w:color w:val="020817"/>
                <w:kern w:val="0"/>
                <w:sz w:val="18"/>
                <w:szCs w:val="18"/>
                <w14:ligatures w14:val="none"/>
              </w:rPr>
              <w:t>Reached "Practitioner" maturity stage </w:t>
            </w:r>
          </w:p>
          <w:p w14:paraId="25D9E047" w14:textId="77777777" w:rsidR="00F42431" w:rsidRPr="00F42431" w:rsidRDefault="00F42431" w:rsidP="00F42431">
            <w:pPr>
              <w:numPr>
                <w:ilvl w:val="0"/>
                <w:numId w:val="22"/>
              </w:numPr>
              <w:shd w:val="clear" w:color="auto" w:fill="FDFBFA"/>
              <w:spacing w:after="0" w:line="240" w:lineRule="auto"/>
              <w:ind w:firstLine="0"/>
              <w:textAlignment w:val="baseline"/>
              <w:rPr>
                <w:rFonts w:ascii="Calibri" w:eastAsia="Times New Roman" w:hAnsi="Calibri" w:cs="Calibri"/>
                <w:kern w:val="0"/>
                <w:sz w:val="18"/>
                <w:szCs w:val="18"/>
                <w14:ligatures w14:val="none"/>
              </w:rPr>
            </w:pPr>
            <w:r w:rsidRPr="00F42431">
              <w:rPr>
                <w:rFonts w:ascii="Calibri" w:eastAsia="Times New Roman" w:hAnsi="Calibri" w:cs="Calibri"/>
                <w:color w:val="020817"/>
                <w:kern w:val="0"/>
                <w:sz w:val="18"/>
                <w:szCs w:val="18"/>
                <w14:ligatures w14:val="none"/>
              </w:rPr>
              <w:t>Top-up: domestic tourism indicator framework under development; Phase 3 proposal submitted (Sep 2026) </w:t>
            </w:r>
          </w:p>
          <w:p w14:paraId="327DD04C"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kern w:val="0"/>
                <w:sz w:val="18"/>
                <w:szCs w:val="18"/>
                <w14:ligatures w14:val="none"/>
              </w:rPr>
              <w:t> </w:t>
            </w:r>
          </w:p>
        </w:tc>
      </w:tr>
      <w:tr w:rsidR="00F42431" w:rsidRPr="00F42431" w14:paraId="336C6564" w14:textId="77777777">
        <w:trPr>
          <w:trHeight w:val="300"/>
        </w:trPr>
        <w:tc>
          <w:tcPr>
            <w:tcW w:w="1005" w:type="dxa"/>
            <w:tcBorders>
              <w:top w:val="single" w:sz="6" w:space="0" w:color="C9D2DE"/>
              <w:left w:val="single" w:sz="6" w:space="0" w:color="AAB4C4"/>
              <w:bottom w:val="single" w:sz="6" w:space="0" w:color="C9D2DE"/>
              <w:right w:val="single" w:sz="6" w:space="0" w:color="C9D2DE"/>
            </w:tcBorders>
            <w:shd w:val="clear" w:color="auto" w:fill="EDF1F7"/>
            <w:hideMark/>
          </w:tcPr>
          <w:p w14:paraId="40308A88"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Morocco </w:t>
            </w:r>
          </w:p>
        </w:tc>
        <w:tc>
          <w:tcPr>
            <w:tcW w:w="1395" w:type="dxa"/>
            <w:tcBorders>
              <w:top w:val="single" w:sz="6" w:space="0" w:color="C9D2DE"/>
              <w:left w:val="single" w:sz="6" w:space="0" w:color="C9D2DE"/>
              <w:bottom w:val="single" w:sz="6" w:space="0" w:color="C9D2DE"/>
              <w:right w:val="single" w:sz="6" w:space="0" w:color="C9D2DE"/>
            </w:tcBorders>
            <w:shd w:val="clear" w:color="auto" w:fill="EDF1F7"/>
            <w:hideMark/>
          </w:tcPr>
          <w:p w14:paraId="213F5BAD"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Dynamic vulnerability mapping; social assistance; migration </w:t>
            </w:r>
          </w:p>
        </w:tc>
        <w:tc>
          <w:tcPr>
            <w:tcW w:w="1530" w:type="dxa"/>
            <w:tcBorders>
              <w:top w:val="single" w:sz="6" w:space="0" w:color="C9D2DE"/>
              <w:left w:val="single" w:sz="6" w:space="0" w:color="C9D2DE"/>
              <w:bottom w:val="single" w:sz="6" w:space="0" w:color="C9D2DE"/>
              <w:right w:val="single" w:sz="6" w:space="0" w:color="C9D2DE"/>
            </w:tcBorders>
            <w:shd w:val="clear" w:color="auto" w:fill="EDF1F7"/>
            <w:hideMark/>
          </w:tcPr>
          <w:p w14:paraId="16ACAE47"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Pre-MOU </w:t>
            </w:r>
          </w:p>
        </w:tc>
        <w:tc>
          <w:tcPr>
            <w:tcW w:w="1035" w:type="dxa"/>
            <w:tcBorders>
              <w:top w:val="single" w:sz="6" w:space="0" w:color="C9D2DE"/>
              <w:left w:val="single" w:sz="6" w:space="0" w:color="C9D2DE"/>
              <w:bottom w:val="single" w:sz="6" w:space="0" w:color="C9D2DE"/>
              <w:right w:val="single" w:sz="6" w:space="0" w:color="C9D2DE"/>
            </w:tcBorders>
            <w:shd w:val="clear" w:color="auto" w:fill="EDF1F7"/>
            <w:hideMark/>
          </w:tcPr>
          <w:p w14:paraId="79A696A2"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Practitioner </w:t>
            </w:r>
          </w:p>
        </w:tc>
        <w:tc>
          <w:tcPr>
            <w:tcW w:w="1020" w:type="dxa"/>
            <w:tcBorders>
              <w:top w:val="single" w:sz="6" w:space="0" w:color="C9D2DE"/>
              <w:left w:val="single" w:sz="6" w:space="0" w:color="C9D2DE"/>
              <w:bottom w:val="single" w:sz="6" w:space="0" w:color="C9D2DE"/>
              <w:right w:val="single" w:sz="6" w:space="0" w:color="C9D2DE"/>
            </w:tcBorders>
            <w:shd w:val="clear" w:color="auto" w:fill="EDF1F7"/>
            <w:hideMark/>
          </w:tcPr>
          <w:p w14:paraId="06EDB194"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N </w:t>
            </w:r>
          </w:p>
        </w:tc>
        <w:tc>
          <w:tcPr>
            <w:tcW w:w="4185" w:type="dxa"/>
            <w:tcBorders>
              <w:top w:val="single" w:sz="6" w:space="0" w:color="C9D2DE"/>
              <w:left w:val="single" w:sz="6" w:space="0" w:color="C9D2DE"/>
              <w:bottom w:val="single" w:sz="6" w:space="0" w:color="C9D2DE"/>
              <w:right w:val="single" w:sz="6" w:space="0" w:color="AAB4C4"/>
            </w:tcBorders>
            <w:shd w:val="clear" w:color="auto" w:fill="EDF1F7"/>
            <w:hideMark/>
          </w:tcPr>
          <w:p w14:paraId="67C21D75"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 Near-practitioner maturity despite pre-MOU status. </w:t>
            </w:r>
          </w:p>
          <w:p w14:paraId="1CF0EF2B"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 National workshop delivered in May 2026, convening NSO, Regulator and MNOs </w:t>
            </w:r>
          </w:p>
          <w:p w14:paraId="6213FA0B"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 Ongoing review of regulatory framework and preparatory negotiations for MOU </w:t>
            </w:r>
          </w:p>
        </w:tc>
      </w:tr>
      <w:tr w:rsidR="00F42431" w:rsidRPr="00F42431" w14:paraId="4E28BC36" w14:textId="77777777">
        <w:trPr>
          <w:trHeight w:val="300"/>
        </w:trPr>
        <w:tc>
          <w:tcPr>
            <w:tcW w:w="1005" w:type="dxa"/>
            <w:tcBorders>
              <w:top w:val="single" w:sz="6" w:space="0" w:color="C9D2DE"/>
              <w:left w:val="single" w:sz="6" w:space="0" w:color="AAB4C4"/>
              <w:bottom w:val="single" w:sz="6" w:space="0" w:color="C9D2DE"/>
              <w:right w:val="single" w:sz="6" w:space="0" w:color="C9D2DE"/>
            </w:tcBorders>
            <w:hideMark/>
          </w:tcPr>
          <w:p w14:paraId="607A8EA9"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Peru </w:t>
            </w:r>
          </w:p>
        </w:tc>
        <w:tc>
          <w:tcPr>
            <w:tcW w:w="1395" w:type="dxa"/>
            <w:tcBorders>
              <w:top w:val="single" w:sz="6" w:space="0" w:color="C9D2DE"/>
              <w:left w:val="single" w:sz="6" w:space="0" w:color="C9D2DE"/>
              <w:bottom w:val="single" w:sz="6" w:space="0" w:color="C9D2DE"/>
              <w:right w:val="single" w:sz="6" w:space="0" w:color="C9D2DE"/>
            </w:tcBorders>
            <w:hideMark/>
          </w:tcPr>
          <w:p w14:paraId="58BFC15C"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Disaster response; public health </w:t>
            </w:r>
          </w:p>
        </w:tc>
        <w:tc>
          <w:tcPr>
            <w:tcW w:w="1530" w:type="dxa"/>
            <w:tcBorders>
              <w:top w:val="single" w:sz="6" w:space="0" w:color="C9D2DE"/>
              <w:left w:val="single" w:sz="6" w:space="0" w:color="C9D2DE"/>
              <w:bottom w:val="single" w:sz="6" w:space="0" w:color="C9D2DE"/>
              <w:right w:val="single" w:sz="6" w:space="0" w:color="C9D2DE"/>
            </w:tcBorders>
            <w:hideMark/>
          </w:tcPr>
          <w:p w14:paraId="4F69C9B4"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DSA signed with INEI </w:t>
            </w:r>
          </w:p>
        </w:tc>
        <w:tc>
          <w:tcPr>
            <w:tcW w:w="1035" w:type="dxa"/>
            <w:tcBorders>
              <w:top w:val="single" w:sz="6" w:space="0" w:color="C9D2DE"/>
              <w:left w:val="single" w:sz="6" w:space="0" w:color="C9D2DE"/>
              <w:bottom w:val="single" w:sz="6" w:space="0" w:color="C9D2DE"/>
              <w:right w:val="single" w:sz="6" w:space="0" w:color="C9D2DE"/>
            </w:tcBorders>
            <w:hideMark/>
          </w:tcPr>
          <w:p w14:paraId="286BCBB8"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Foundation </w:t>
            </w:r>
          </w:p>
        </w:tc>
        <w:tc>
          <w:tcPr>
            <w:tcW w:w="1020" w:type="dxa"/>
            <w:tcBorders>
              <w:top w:val="single" w:sz="6" w:space="0" w:color="C9D2DE"/>
              <w:left w:val="single" w:sz="6" w:space="0" w:color="C9D2DE"/>
              <w:bottom w:val="single" w:sz="6" w:space="0" w:color="C9D2DE"/>
              <w:right w:val="single" w:sz="6" w:space="0" w:color="C9D2DE"/>
            </w:tcBorders>
            <w:hideMark/>
          </w:tcPr>
          <w:p w14:paraId="4A7316B4"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N </w:t>
            </w:r>
          </w:p>
        </w:tc>
        <w:tc>
          <w:tcPr>
            <w:tcW w:w="4185" w:type="dxa"/>
            <w:tcBorders>
              <w:top w:val="single" w:sz="6" w:space="0" w:color="C9D2DE"/>
              <w:left w:val="single" w:sz="6" w:space="0" w:color="C9D2DE"/>
              <w:bottom w:val="single" w:sz="6" w:space="0" w:color="C9D2DE"/>
              <w:right w:val="single" w:sz="6" w:space="0" w:color="AAB4C4"/>
            </w:tcBorders>
            <w:hideMark/>
          </w:tcPr>
          <w:p w14:paraId="3C3ACE75"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 Hosted GDF-MPD program at IPC Business Summit session, Lima, (Sep 2025)  </w:t>
            </w:r>
          </w:p>
          <w:p w14:paraId="370F3AE4"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 </w:t>
            </w:r>
          </w:p>
          <w:p w14:paraId="5E53153E"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 DSA signed between INEI and the World Bank (May 26) </w:t>
            </w:r>
          </w:p>
          <w:p w14:paraId="3462D240"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  </w:t>
            </w:r>
          </w:p>
        </w:tc>
      </w:tr>
      <w:tr w:rsidR="00F42431" w:rsidRPr="00F42431" w14:paraId="7365CD62" w14:textId="77777777">
        <w:trPr>
          <w:trHeight w:val="300"/>
        </w:trPr>
        <w:tc>
          <w:tcPr>
            <w:tcW w:w="1005" w:type="dxa"/>
            <w:tcBorders>
              <w:top w:val="single" w:sz="6" w:space="0" w:color="C9D2DE"/>
              <w:left w:val="single" w:sz="6" w:space="0" w:color="AAB4C4"/>
              <w:bottom w:val="single" w:sz="6" w:space="0" w:color="C9D2DE"/>
              <w:right w:val="single" w:sz="6" w:space="0" w:color="C9D2DE"/>
            </w:tcBorders>
            <w:shd w:val="clear" w:color="auto" w:fill="EDF1F7"/>
            <w:hideMark/>
          </w:tcPr>
          <w:p w14:paraId="0BC95117"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lastRenderedPageBreak/>
              <w:t>Rwanda </w:t>
            </w:r>
          </w:p>
        </w:tc>
        <w:tc>
          <w:tcPr>
            <w:tcW w:w="1395" w:type="dxa"/>
            <w:tcBorders>
              <w:top w:val="single" w:sz="6" w:space="0" w:color="C9D2DE"/>
              <w:left w:val="single" w:sz="6" w:space="0" w:color="C9D2DE"/>
              <w:bottom w:val="single" w:sz="6" w:space="0" w:color="C9D2DE"/>
              <w:right w:val="single" w:sz="6" w:space="0" w:color="C9D2DE"/>
            </w:tcBorders>
            <w:shd w:val="clear" w:color="auto" w:fill="EDF1F7"/>
            <w:hideMark/>
          </w:tcPr>
          <w:p w14:paraId="4538A14B"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Vulnerability mapping; social assistance </w:t>
            </w:r>
          </w:p>
        </w:tc>
        <w:tc>
          <w:tcPr>
            <w:tcW w:w="1530" w:type="dxa"/>
            <w:tcBorders>
              <w:top w:val="single" w:sz="6" w:space="0" w:color="C9D2DE"/>
              <w:left w:val="single" w:sz="6" w:space="0" w:color="C9D2DE"/>
              <w:bottom w:val="single" w:sz="6" w:space="0" w:color="C9D2DE"/>
              <w:right w:val="single" w:sz="6" w:space="0" w:color="C9D2DE"/>
            </w:tcBorders>
            <w:shd w:val="clear" w:color="auto" w:fill="EDF1F7"/>
            <w:hideMark/>
          </w:tcPr>
          <w:p w14:paraId="28908E18"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MOU Pending </w:t>
            </w:r>
          </w:p>
        </w:tc>
        <w:tc>
          <w:tcPr>
            <w:tcW w:w="1035" w:type="dxa"/>
            <w:tcBorders>
              <w:top w:val="single" w:sz="6" w:space="0" w:color="C9D2DE"/>
              <w:left w:val="single" w:sz="6" w:space="0" w:color="C9D2DE"/>
              <w:bottom w:val="single" w:sz="6" w:space="0" w:color="C9D2DE"/>
              <w:right w:val="single" w:sz="6" w:space="0" w:color="C9D2DE"/>
            </w:tcBorders>
            <w:shd w:val="clear" w:color="auto" w:fill="EDF1F7"/>
            <w:hideMark/>
          </w:tcPr>
          <w:p w14:paraId="4CA7EC02"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Foundation </w:t>
            </w:r>
          </w:p>
        </w:tc>
        <w:tc>
          <w:tcPr>
            <w:tcW w:w="1020" w:type="dxa"/>
            <w:tcBorders>
              <w:top w:val="single" w:sz="6" w:space="0" w:color="C9D2DE"/>
              <w:left w:val="single" w:sz="6" w:space="0" w:color="C9D2DE"/>
              <w:bottom w:val="single" w:sz="6" w:space="0" w:color="C9D2DE"/>
              <w:right w:val="single" w:sz="6" w:space="0" w:color="C9D2DE"/>
            </w:tcBorders>
            <w:shd w:val="clear" w:color="auto" w:fill="EDF1F7"/>
            <w:hideMark/>
          </w:tcPr>
          <w:p w14:paraId="6115F8E4"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N </w:t>
            </w:r>
          </w:p>
        </w:tc>
        <w:tc>
          <w:tcPr>
            <w:tcW w:w="4185" w:type="dxa"/>
            <w:tcBorders>
              <w:top w:val="single" w:sz="6" w:space="0" w:color="C9D2DE"/>
              <w:left w:val="single" w:sz="6" w:space="0" w:color="C9D2DE"/>
              <w:bottom w:val="single" w:sz="6" w:space="0" w:color="C9D2DE"/>
              <w:right w:val="single" w:sz="6" w:space="0" w:color="AAB4C4"/>
            </w:tcBorders>
            <w:shd w:val="clear" w:color="auto" w:fill="EDF1F7"/>
            <w:hideMark/>
          </w:tcPr>
          <w:p w14:paraId="22FA3FD0" w14:textId="77777777" w:rsidR="00F42431" w:rsidRPr="00F42431" w:rsidRDefault="00F42431" w:rsidP="00F42431">
            <w:pPr>
              <w:numPr>
                <w:ilvl w:val="0"/>
                <w:numId w:val="23"/>
              </w:numPr>
              <w:spacing w:after="0" w:line="240" w:lineRule="auto"/>
              <w:ind w:firstLine="0"/>
              <w:textAlignment w:val="baseline"/>
              <w:rPr>
                <w:rFonts w:ascii="Calibri" w:eastAsia="Times New Roman" w:hAnsi="Calibri" w:cs="Calibri"/>
                <w:kern w:val="0"/>
                <w:sz w:val="18"/>
                <w:szCs w:val="18"/>
                <w14:ligatures w14:val="none"/>
              </w:rPr>
            </w:pPr>
            <w:r w:rsidRPr="00F42431">
              <w:rPr>
                <w:rFonts w:ascii="Calibri" w:eastAsia="Times New Roman" w:hAnsi="Calibri" w:cs="Calibri"/>
                <w:kern w:val="0"/>
                <w:sz w:val="18"/>
                <w:szCs w:val="18"/>
                <w14:ligatures w14:val="none"/>
              </w:rPr>
              <w:t>High-Level Roundtable (April 2025)Government(Ministry of Local Government, NISR, RISA, RURA), MNOs (MTN, Airtel), and development partners secured buy-in for MPD integration into ImiberehoSocial Registry. </w:t>
            </w:r>
          </w:p>
          <w:p w14:paraId="756EC123" w14:textId="77777777" w:rsidR="00F42431" w:rsidRPr="00F42431" w:rsidRDefault="00F42431" w:rsidP="00F42431">
            <w:pPr>
              <w:numPr>
                <w:ilvl w:val="0"/>
                <w:numId w:val="24"/>
              </w:numPr>
              <w:spacing w:after="0" w:line="240" w:lineRule="auto"/>
              <w:ind w:firstLine="0"/>
              <w:textAlignment w:val="baseline"/>
              <w:rPr>
                <w:rFonts w:ascii="Calibri" w:eastAsia="Times New Roman" w:hAnsi="Calibri" w:cs="Calibri"/>
                <w:kern w:val="0"/>
                <w:sz w:val="18"/>
                <w:szCs w:val="18"/>
                <w14:ligatures w14:val="none"/>
              </w:rPr>
            </w:pPr>
            <w:r w:rsidRPr="00F42431">
              <w:rPr>
                <w:rFonts w:ascii="Calibri" w:eastAsia="Times New Roman" w:hAnsi="Calibri" w:cs="Calibri"/>
                <w:kern w:val="0"/>
                <w:sz w:val="18"/>
                <w:szCs w:val="18"/>
                <w14:ligatures w14:val="none"/>
              </w:rPr>
              <w:t>MINALOC formally requested sample MPD dataset (5,000–20,000 subscribers) from RURA for operational research. </w:t>
            </w:r>
          </w:p>
          <w:p w14:paraId="34F44CDC" w14:textId="77777777" w:rsidR="00F42431" w:rsidRPr="00F42431" w:rsidRDefault="00F42431" w:rsidP="00F42431">
            <w:pPr>
              <w:numPr>
                <w:ilvl w:val="0"/>
                <w:numId w:val="25"/>
              </w:numPr>
              <w:spacing w:after="0" w:line="240" w:lineRule="auto"/>
              <w:ind w:firstLine="0"/>
              <w:textAlignment w:val="baseline"/>
              <w:rPr>
                <w:rFonts w:ascii="Calibri" w:eastAsia="Times New Roman" w:hAnsi="Calibri" w:cs="Calibri"/>
                <w:kern w:val="0"/>
                <w:sz w:val="18"/>
                <w:szCs w:val="18"/>
                <w14:ligatures w14:val="none"/>
              </w:rPr>
            </w:pPr>
            <w:r w:rsidRPr="00F42431">
              <w:rPr>
                <w:rFonts w:ascii="Calibri" w:eastAsia="Times New Roman" w:hAnsi="Calibri" w:cs="Calibri"/>
                <w:kern w:val="0"/>
                <w:sz w:val="18"/>
                <w:szCs w:val="18"/>
                <w14:ligatures w14:val="none"/>
              </w:rPr>
              <w:t>Multi-agency Technical Working Group formed (MINALOC, RISA, NISR, RURA). </w:t>
            </w:r>
          </w:p>
          <w:p w14:paraId="1B35520A" w14:textId="77777777" w:rsidR="00F42431" w:rsidRPr="00F42431" w:rsidRDefault="00F42431" w:rsidP="00F42431">
            <w:pPr>
              <w:numPr>
                <w:ilvl w:val="0"/>
                <w:numId w:val="26"/>
              </w:numPr>
              <w:spacing w:after="0" w:line="240" w:lineRule="auto"/>
              <w:ind w:firstLine="0"/>
              <w:textAlignment w:val="baseline"/>
              <w:rPr>
                <w:rFonts w:ascii="Calibri" w:eastAsia="Times New Roman" w:hAnsi="Calibri" w:cs="Calibri"/>
                <w:kern w:val="0"/>
                <w:sz w:val="18"/>
                <w:szCs w:val="18"/>
                <w14:ligatures w14:val="none"/>
              </w:rPr>
            </w:pPr>
            <w:r w:rsidRPr="00F42431">
              <w:rPr>
                <w:rFonts w:ascii="Calibri" w:eastAsia="Times New Roman" w:hAnsi="Calibri" w:cs="Calibri"/>
                <w:kern w:val="0"/>
                <w:sz w:val="18"/>
                <w:szCs w:val="18"/>
                <w14:ligatures w14:val="none"/>
              </w:rPr>
              <w:t>Further exploration of MPD included in the Additional Financing for Social Protection Transformation Project (P177492). </w:t>
            </w:r>
          </w:p>
          <w:p w14:paraId="6799135C" w14:textId="77777777" w:rsidR="00F42431" w:rsidRPr="00F42431" w:rsidRDefault="00F42431" w:rsidP="00F42431">
            <w:pPr>
              <w:numPr>
                <w:ilvl w:val="0"/>
                <w:numId w:val="27"/>
              </w:numPr>
              <w:spacing w:after="0" w:line="240" w:lineRule="auto"/>
              <w:ind w:firstLine="0"/>
              <w:textAlignment w:val="baseline"/>
              <w:rPr>
                <w:rFonts w:ascii="Calibri" w:eastAsia="Times New Roman" w:hAnsi="Calibri" w:cs="Calibri"/>
                <w:kern w:val="0"/>
                <w:sz w:val="18"/>
                <w:szCs w:val="18"/>
                <w14:ligatures w14:val="none"/>
              </w:rPr>
            </w:pPr>
            <w:r w:rsidRPr="00F42431">
              <w:rPr>
                <w:rFonts w:ascii="Calibri" w:eastAsia="Times New Roman" w:hAnsi="Calibri" w:cs="Calibri"/>
                <w:kern w:val="0"/>
                <w:sz w:val="18"/>
                <w:szCs w:val="18"/>
                <w14:ligatures w14:val="none"/>
              </w:rPr>
              <w:t>Roundtable hosted by MINALOC, NISR, and RURA (July 2026) – Signed minutes attached </w:t>
            </w:r>
          </w:p>
          <w:p w14:paraId="7688A66E" w14:textId="77777777" w:rsidR="00F42431" w:rsidRPr="00F42431" w:rsidRDefault="00F42431" w:rsidP="00F42431">
            <w:pPr>
              <w:numPr>
                <w:ilvl w:val="0"/>
                <w:numId w:val="28"/>
              </w:numPr>
              <w:spacing w:after="0" w:line="240" w:lineRule="auto"/>
              <w:ind w:firstLine="0"/>
              <w:textAlignment w:val="baseline"/>
              <w:rPr>
                <w:rFonts w:ascii="Calibri" w:eastAsia="Times New Roman" w:hAnsi="Calibri" w:cs="Calibri"/>
                <w:kern w:val="0"/>
                <w:sz w:val="18"/>
                <w:szCs w:val="18"/>
                <w14:ligatures w14:val="none"/>
              </w:rPr>
            </w:pPr>
            <w:r w:rsidRPr="00F42431">
              <w:rPr>
                <w:rFonts w:ascii="Calibri" w:eastAsia="Times New Roman" w:hAnsi="Calibri" w:cs="Calibri"/>
                <w:kern w:val="0"/>
                <w:sz w:val="18"/>
                <w:szCs w:val="18"/>
                <w14:ligatures w14:val="none"/>
              </w:rPr>
              <w:t>Revised DSA agreed by all parties; signature pending (August 2026) – Follow on meeting to unlock any pending issue planned during the week of September 12. </w:t>
            </w:r>
          </w:p>
        </w:tc>
      </w:tr>
      <w:tr w:rsidR="00F42431" w:rsidRPr="00F42431" w14:paraId="54EBB24C" w14:textId="77777777">
        <w:trPr>
          <w:trHeight w:val="300"/>
        </w:trPr>
        <w:tc>
          <w:tcPr>
            <w:tcW w:w="1005" w:type="dxa"/>
            <w:tcBorders>
              <w:top w:val="single" w:sz="6" w:space="0" w:color="C9D2DE"/>
              <w:left w:val="single" w:sz="6" w:space="0" w:color="AAB4C4"/>
              <w:bottom w:val="single" w:sz="6" w:space="0" w:color="C9D2DE"/>
              <w:right w:val="single" w:sz="6" w:space="0" w:color="C9D2DE"/>
            </w:tcBorders>
            <w:hideMark/>
          </w:tcPr>
          <w:p w14:paraId="2385195F"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Senegal </w:t>
            </w:r>
          </w:p>
        </w:tc>
        <w:tc>
          <w:tcPr>
            <w:tcW w:w="1395" w:type="dxa"/>
            <w:tcBorders>
              <w:top w:val="single" w:sz="6" w:space="0" w:color="C9D2DE"/>
              <w:left w:val="single" w:sz="6" w:space="0" w:color="C9D2DE"/>
              <w:bottom w:val="single" w:sz="6" w:space="0" w:color="C9D2DE"/>
              <w:right w:val="single" w:sz="6" w:space="0" w:color="C9D2DE"/>
            </w:tcBorders>
            <w:hideMark/>
          </w:tcPr>
          <w:p w14:paraId="442B1339"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Urban mobility and transport </w:t>
            </w:r>
          </w:p>
        </w:tc>
        <w:tc>
          <w:tcPr>
            <w:tcW w:w="1530" w:type="dxa"/>
            <w:tcBorders>
              <w:top w:val="single" w:sz="6" w:space="0" w:color="C9D2DE"/>
              <w:left w:val="single" w:sz="6" w:space="0" w:color="C9D2DE"/>
              <w:bottom w:val="single" w:sz="6" w:space="0" w:color="C9D2DE"/>
              <w:right w:val="single" w:sz="6" w:space="0" w:color="C9D2DE"/>
            </w:tcBorders>
            <w:hideMark/>
          </w:tcPr>
          <w:p w14:paraId="438D5703"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MOU drafted </w:t>
            </w:r>
          </w:p>
        </w:tc>
        <w:tc>
          <w:tcPr>
            <w:tcW w:w="1035" w:type="dxa"/>
            <w:tcBorders>
              <w:top w:val="single" w:sz="6" w:space="0" w:color="C9D2DE"/>
              <w:left w:val="single" w:sz="6" w:space="0" w:color="C9D2DE"/>
              <w:bottom w:val="single" w:sz="6" w:space="0" w:color="C9D2DE"/>
              <w:right w:val="single" w:sz="6" w:space="0" w:color="C9D2DE"/>
            </w:tcBorders>
            <w:hideMark/>
          </w:tcPr>
          <w:p w14:paraId="204FD7BF"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Foundation </w:t>
            </w:r>
          </w:p>
        </w:tc>
        <w:tc>
          <w:tcPr>
            <w:tcW w:w="1020" w:type="dxa"/>
            <w:tcBorders>
              <w:top w:val="single" w:sz="6" w:space="0" w:color="C9D2DE"/>
              <w:left w:val="single" w:sz="6" w:space="0" w:color="C9D2DE"/>
              <w:bottom w:val="single" w:sz="6" w:space="0" w:color="C9D2DE"/>
              <w:right w:val="single" w:sz="6" w:space="0" w:color="C9D2DE"/>
            </w:tcBorders>
            <w:hideMark/>
          </w:tcPr>
          <w:p w14:paraId="32148311"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N </w:t>
            </w:r>
          </w:p>
        </w:tc>
        <w:tc>
          <w:tcPr>
            <w:tcW w:w="4185" w:type="dxa"/>
            <w:tcBorders>
              <w:top w:val="single" w:sz="6" w:space="0" w:color="C9D2DE"/>
              <w:left w:val="single" w:sz="6" w:space="0" w:color="C9D2DE"/>
              <w:bottom w:val="single" w:sz="6" w:space="0" w:color="C9D2DE"/>
              <w:right w:val="single" w:sz="6" w:space="0" w:color="AAB4C4"/>
            </w:tcBorders>
            <w:hideMark/>
          </w:tcPr>
          <w:p w14:paraId="57F5045B"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 Research on temporary migration patterns under way. Member of the ECOWAS Technical Working Group (launched Abidjan, Mar 2026). </w:t>
            </w:r>
          </w:p>
          <w:p w14:paraId="6DB50773"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 MOU drafted with Orange; ARTP engaged. </w:t>
            </w:r>
          </w:p>
        </w:tc>
      </w:tr>
      <w:tr w:rsidR="00F42431" w:rsidRPr="00F42431" w14:paraId="5CAA88D2" w14:textId="77777777">
        <w:trPr>
          <w:trHeight w:val="300"/>
        </w:trPr>
        <w:tc>
          <w:tcPr>
            <w:tcW w:w="1005" w:type="dxa"/>
            <w:tcBorders>
              <w:top w:val="single" w:sz="6" w:space="0" w:color="C9D2DE"/>
              <w:left w:val="single" w:sz="6" w:space="0" w:color="AAB4C4"/>
              <w:bottom w:val="single" w:sz="6" w:space="0" w:color="C9D2DE"/>
              <w:right w:val="single" w:sz="6" w:space="0" w:color="C9D2DE"/>
            </w:tcBorders>
            <w:shd w:val="clear" w:color="auto" w:fill="EDF1F7"/>
            <w:hideMark/>
          </w:tcPr>
          <w:p w14:paraId="7124009F"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The Gambia </w:t>
            </w:r>
          </w:p>
        </w:tc>
        <w:tc>
          <w:tcPr>
            <w:tcW w:w="1395" w:type="dxa"/>
            <w:tcBorders>
              <w:top w:val="single" w:sz="6" w:space="0" w:color="C9D2DE"/>
              <w:left w:val="single" w:sz="6" w:space="0" w:color="C9D2DE"/>
              <w:bottom w:val="single" w:sz="6" w:space="0" w:color="C9D2DE"/>
              <w:right w:val="single" w:sz="6" w:space="0" w:color="C9D2DE"/>
            </w:tcBorders>
            <w:shd w:val="clear" w:color="auto" w:fill="EDF1F7"/>
            <w:hideMark/>
          </w:tcPr>
          <w:p w14:paraId="0D38CD00"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Dynamic population mapping; migration; urban mobility </w:t>
            </w:r>
          </w:p>
        </w:tc>
        <w:tc>
          <w:tcPr>
            <w:tcW w:w="1530" w:type="dxa"/>
            <w:tcBorders>
              <w:top w:val="single" w:sz="6" w:space="0" w:color="C9D2DE"/>
              <w:left w:val="single" w:sz="6" w:space="0" w:color="C9D2DE"/>
              <w:bottom w:val="single" w:sz="6" w:space="0" w:color="C9D2DE"/>
              <w:right w:val="single" w:sz="6" w:space="0" w:color="C9D2DE"/>
            </w:tcBorders>
            <w:shd w:val="clear" w:color="auto" w:fill="EDF1F7"/>
            <w:hideMark/>
          </w:tcPr>
          <w:p w14:paraId="571D286E"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MOU signed; Data License Agreement signed (2-year auto-renewable) </w:t>
            </w:r>
          </w:p>
        </w:tc>
        <w:tc>
          <w:tcPr>
            <w:tcW w:w="1035" w:type="dxa"/>
            <w:tcBorders>
              <w:top w:val="single" w:sz="6" w:space="0" w:color="C9D2DE"/>
              <w:left w:val="single" w:sz="6" w:space="0" w:color="C9D2DE"/>
              <w:bottom w:val="single" w:sz="6" w:space="0" w:color="C9D2DE"/>
              <w:right w:val="single" w:sz="6" w:space="0" w:color="C9D2DE"/>
            </w:tcBorders>
            <w:shd w:val="clear" w:color="auto" w:fill="EDF1F7"/>
            <w:hideMark/>
          </w:tcPr>
          <w:p w14:paraId="14A4DCFB"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Foundation </w:t>
            </w:r>
          </w:p>
        </w:tc>
        <w:tc>
          <w:tcPr>
            <w:tcW w:w="1020" w:type="dxa"/>
            <w:tcBorders>
              <w:top w:val="single" w:sz="6" w:space="0" w:color="C9D2DE"/>
              <w:left w:val="single" w:sz="6" w:space="0" w:color="C9D2DE"/>
              <w:bottom w:val="single" w:sz="6" w:space="0" w:color="C9D2DE"/>
              <w:right w:val="single" w:sz="6" w:space="0" w:color="C9D2DE"/>
            </w:tcBorders>
            <w:shd w:val="clear" w:color="auto" w:fill="EDF1F7"/>
            <w:hideMark/>
          </w:tcPr>
          <w:p w14:paraId="13BE3492"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N </w:t>
            </w:r>
          </w:p>
        </w:tc>
        <w:tc>
          <w:tcPr>
            <w:tcW w:w="4185" w:type="dxa"/>
            <w:tcBorders>
              <w:top w:val="single" w:sz="6" w:space="0" w:color="C9D2DE"/>
              <w:left w:val="single" w:sz="6" w:space="0" w:color="C9D2DE"/>
              <w:bottom w:val="single" w:sz="6" w:space="0" w:color="C9D2DE"/>
              <w:right w:val="single" w:sz="6" w:space="0" w:color="AAB4C4"/>
            </w:tcBorders>
            <w:shd w:val="clear" w:color="auto" w:fill="EDF1F7"/>
            <w:hideMark/>
          </w:tcPr>
          <w:p w14:paraId="02F37F0A"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 Tranche 1: study tour to Ghana; ECOWAS workshop; use case and IT pipeline developed; MPD Academy in The Gambia (June 2025);  </w:t>
            </w:r>
          </w:p>
          <w:p w14:paraId="525D465F"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 MOU signed between PURA and GBoS; online GDF-MPD training completed. </w:t>
            </w:r>
          </w:p>
          <w:p w14:paraId="5F619D01"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 Scale-up under the Stats Project, extension of the use case, and local literacy and capacity building. </w:t>
            </w:r>
          </w:p>
          <w:p w14:paraId="3ED10ED3"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 GBoS is core member of the ECOWAS Technical Working Group (launched Abidjan, Mar 2026). </w:t>
            </w:r>
          </w:p>
          <w:p w14:paraId="753277DC"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lastRenderedPageBreak/>
              <w:t>- PET technology provisioned and training provided (May 2026). </w:t>
            </w:r>
          </w:p>
          <w:p w14:paraId="2C2D3081"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 WB DSA signed between PURA and WBG; PURA acts as data custodian and licensor (August 2026). </w:t>
            </w:r>
          </w:p>
        </w:tc>
      </w:tr>
      <w:tr w:rsidR="00F42431" w:rsidRPr="00F42431" w14:paraId="1950CA77" w14:textId="77777777">
        <w:trPr>
          <w:trHeight w:val="300"/>
        </w:trPr>
        <w:tc>
          <w:tcPr>
            <w:tcW w:w="1005" w:type="dxa"/>
            <w:tcBorders>
              <w:top w:val="single" w:sz="6" w:space="0" w:color="C9D2DE"/>
              <w:left w:val="single" w:sz="6" w:space="0" w:color="AAB4C4"/>
              <w:bottom w:val="single" w:sz="6" w:space="0" w:color="C9D2DE"/>
              <w:right w:val="single" w:sz="6" w:space="0" w:color="C9D2DE"/>
            </w:tcBorders>
            <w:hideMark/>
          </w:tcPr>
          <w:p w14:paraId="154FD6D4"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lastRenderedPageBreak/>
              <w:t>Togo </w:t>
            </w:r>
          </w:p>
        </w:tc>
        <w:tc>
          <w:tcPr>
            <w:tcW w:w="1395" w:type="dxa"/>
            <w:tcBorders>
              <w:top w:val="single" w:sz="6" w:space="0" w:color="C9D2DE"/>
              <w:left w:val="single" w:sz="6" w:space="0" w:color="C9D2DE"/>
              <w:bottom w:val="single" w:sz="6" w:space="0" w:color="C9D2DE"/>
              <w:right w:val="single" w:sz="6" w:space="0" w:color="C9D2DE"/>
            </w:tcBorders>
            <w:hideMark/>
          </w:tcPr>
          <w:p w14:paraId="32F14421"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Migration and tourism statistics </w:t>
            </w:r>
          </w:p>
        </w:tc>
        <w:tc>
          <w:tcPr>
            <w:tcW w:w="1530" w:type="dxa"/>
            <w:tcBorders>
              <w:top w:val="single" w:sz="6" w:space="0" w:color="C9D2DE"/>
              <w:left w:val="single" w:sz="6" w:space="0" w:color="C9D2DE"/>
              <w:bottom w:val="single" w:sz="6" w:space="0" w:color="C9D2DE"/>
              <w:right w:val="single" w:sz="6" w:space="0" w:color="C9D2DE"/>
            </w:tcBorders>
            <w:hideMark/>
          </w:tcPr>
          <w:p w14:paraId="6CCF79E8"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No MOU documented </w:t>
            </w:r>
          </w:p>
        </w:tc>
        <w:tc>
          <w:tcPr>
            <w:tcW w:w="1035" w:type="dxa"/>
            <w:tcBorders>
              <w:top w:val="single" w:sz="6" w:space="0" w:color="C9D2DE"/>
              <w:left w:val="single" w:sz="6" w:space="0" w:color="C9D2DE"/>
              <w:bottom w:val="single" w:sz="6" w:space="0" w:color="C9D2DE"/>
              <w:right w:val="single" w:sz="6" w:space="0" w:color="C9D2DE"/>
            </w:tcBorders>
            <w:hideMark/>
          </w:tcPr>
          <w:p w14:paraId="6E84A3E7"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Pre-Foundation </w:t>
            </w:r>
          </w:p>
        </w:tc>
        <w:tc>
          <w:tcPr>
            <w:tcW w:w="1020" w:type="dxa"/>
            <w:tcBorders>
              <w:top w:val="single" w:sz="6" w:space="0" w:color="C9D2DE"/>
              <w:left w:val="single" w:sz="6" w:space="0" w:color="C9D2DE"/>
              <w:bottom w:val="single" w:sz="6" w:space="0" w:color="C9D2DE"/>
              <w:right w:val="single" w:sz="6" w:space="0" w:color="C9D2DE"/>
            </w:tcBorders>
            <w:hideMark/>
          </w:tcPr>
          <w:p w14:paraId="7190C109"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N </w:t>
            </w:r>
          </w:p>
        </w:tc>
        <w:tc>
          <w:tcPr>
            <w:tcW w:w="4185" w:type="dxa"/>
            <w:tcBorders>
              <w:top w:val="single" w:sz="6" w:space="0" w:color="C9D2DE"/>
              <w:left w:val="single" w:sz="6" w:space="0" w:color="C9D2DE"/>
              <w:bottom w:val="single" w:sz="6" w:space="0" w:color="C9D2DE"/>
              <w:right w:val="single" w:sz="6" w:space="0" w:color="AAB4C4"/>
            </w:tcBorders>
            <w:hideMark/>
          </w:tcPr>
          <w:p w14:paraId="594A7AAB"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kern w:val="0"/>
                <w:sz w:val="19"/>
                <w:szCs w:val="19"/>
                <w14:ligatures w14:val="none"/>
              </w:rPr>
              <w:t> </w:t>
            </w:r>
          </w:p>
        </w:tc>
      </w:tr>
      <w:tr w:rsidR="00F42431" w:rsidRPr="00F42431" w14:paraId="38920249" w14:textId="77777777">
        <w:trPr>
          <w:trHeight w:val="300"/>
        </w:trPr>
        <w:tc>
          <w:tcPr>
            <w:tcW w:w="1005" w:type="dxa"/>
            <w:tcBorders>
              <w:top w:val="single" w:sz="6" w:space="0" w:color="C9D2DE"/>
              <w:left w:val="single" w:sz="6" w:space="0" w:color="AAB4C4"/>
              <w:bottom w:val="single" w:sz="6" w:space="0" w:color="C9D2DE"/>
              <w:right w:val="single" w:sz="6" w:space="0" w:color="C9D2DE"/>
            </w:tcBorders>
            <w:shd w:val="clear" w:color="auto" w:fill="EDF1F7"/>
            <w:hideMark/>
          </w:tcPr>
          <w:p w14:paraId="4B73F0A0"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Tunisia </w:t>
            </w:r>
          </w:p>
        </w:tc>
        <w:tc>
          <w:tcPr>
            <w:tcW w:w="1395" w:type="dxa"/>
            <w:tcBorders>
              <w:top w:val="single" w:sz="6" w:space="0" w:color="C9D2DE"/>
              <w:left w:val="single" w:sz="6" w:space="0" w:color="C9D2DE"/>
              <w:bottom w:val="single" w:sz="6" w:space="0" w:color="C9D2DE"/>
              <w:right w:val="single" w:sz="6" w:space="0" w:color="C9D2DE"/>
            </w:tcBorders>
            <w:shd w:val="clear" w:color="auto" w:fill="EDF1F7"/>
            <w:hideMark/>
          </w:tcPr>
          <w:p w14:paraId="39E30936"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Vulnerability mapping; social assistance; internal migration indicators </w:t>
            </w:r>
          </w:p>
        </w:tc>
        <w:tc>
          <w:tcPr>
            <w:tcW w:w="1530" w:type="dxa"/>
            <w:tcBorders>
              <w:top w:val="single" w:sz="6" w:space="0" w:color="C9D2DE"/>
              <w:left w:val="single" w:sz="6" w:space="0" w:color="C9D2DE"/>
              <w:bottom w:val="single" w:sz="6" w:space="0" w:color="C9D2DE"/>
              <w:right w:val="single" w:sz="6" w:space="0" w:color="C9D2DE"/>
            </w:tcBorders>
            <w:shd w:val="clear" w:color="auto" w:fill="EDF1F7"/>
            <w:hideMark/>
          </w:tcPr>
          <w:p w14:paraId="55E52359"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MOU drafted; letter to MNOs issued (Jun 2024) </w:t>
            </w:r>
          </w:p>
        </w:tc>
        <w:tc>
          <w:tcPr>
            <w:tcW w:w="1035" w:type="dxa"/>
            <w:tcBorders>
              <w:top w:val="single" w:sz="6" w:space="0" w:color="C9D2DE"/>
              <w:left w:val="single" w:sz="6" w:space="0" w:color="C9D2DE"/>
              <w:bottom w:val="single" w:sz="6" w:space="0" w:color="C9D2DE"/>
              <w:right w:val="single" w:sz="6" w:space="0" w:color="C9D2DE"/>
            </w:tcBorders>
            <w:shd w:val="clear" w:color="auto" w:fill="EDF1F7"/>
            <w:hideMark/>
          </w:tcPr>
          <w:p w14:paraId="5289F927"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Practitioner </w:t>
            </w:r>
          </w:p>
        </w:tc>
        <w:tc>
          <w:tcPr>
            <w:tcW w:w="1020" w:type="dxa"/>
            <w:tcBorders>
              <w:top w:val="single" w:sz="6" w:space="0" w:color="C9D2DE"/>
              <w:left w:val="single" w:sz="6" w:space="0" w:color="C9D2DE"/>
              <w:bottom w:val="single" w:sz="6" w:space="0" w:color="C9D2DE"/>
              <w:right w:val="single" w:sz="6" w:space="0" w:color="C9D2DE"/>
            </w:tcBorders>
            <w:shd w:val="clear" w:color="auto" w:fill="EDF1F7"/>
            <w:hideMark/>
          </w:tcPr>
          <w:p w14:paraId="1228359F"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N </w:t>
            </w:r>
          </w:p>
        </w:tc>
        <w:tc>
          <w:tcPr>
            <w:tcW w:w="4185" w:type="dxa"/>
            <w:tcBorders>
              <w:top w:val="single" w:sz="6" w:space="0" w:color="C9D2DE"/>
              <w:left w:val="single" w:sz="6" w:space="0" w:color="C9D2DE"/>
              <w:bottom w:val="single" w:sz="6" w:space="0" w:color="C9D2DE"/>
              <w:right w:val="single" w:sz="6" w:space="0" w:color="AAB4C4"/>
            </w:tcBorders>
            <w:shd w:val="clear" w:color="auto" w:fill="EDF1F7"/>
            <w:hideMark/>
          </w:tcPr>
          <w:p w14:paraId="2B9DD02E"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 Letter to MNOs issued Jun 2024 </w:t>
            </w:r>
          </w:p>
          <w:p w14:paraId="6048501F"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 Country workshop convened (24) </w:t>
            </w:r>
          </w:p>
          <w:p w14:paraId="5136A62E"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 technical meetings and a national workshop convened (Mar 25)  </w:t>
            </w:r>
          </w:p>
        </w:tc>
      </w:tr>
      <w:tr w:rsidR="00F42431" w:rsidRPr="00F42431" w14:paraId="3FE72D82" w14:textId="77777777">
        <w:trPr>
          <w:trHeight w:val="285"/>
        </w:trPr>
        <w:tc>
          <w:tcPr>
            <w:tcW w:w="1005" w:type="dxa"/>
            <w:tcBorders>
              <w:top w:val="single" w:sz="6" w:space="0" w:color="C9D2DE"/>
              <w:left w:val="single" w:sz="6" w:space="0" w:color="AAB4C4"/>
              <w:bottom w:val="single" w:sz="6" w:space="0" w:color="AAB4C4"/>
              <w:right w:val="single" w:sz="6" w:space="0" w:color="C9D2DE"/>
            </w:tcBorders>
            <w:shd w:val="clear" w:color="auto" w:fill="EDF1F7"/>
            <w:hideMark/>
          </w:tcPr>
          <w:p w14:paraId="546E809C"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 </w:t>
            </w:r>
          </w:p>
        </w:tc>
        <w:tc>
          <w:tcPr>
            <w:tcW w:w="1395" w:type="dxa"/>
            <w:tcBorders>
              <w:top w:val="single" w:sz="6" w:space="0" w:color="C9D2DE"/>
              <w:left w:val="single" w:sz="6" w:space="0" w:color="C9D2DE"/>
              <w:bottom w:val="single" w:sz="6" w:space="0" w:color="AAB4C4"/>
              <w:right w:val="single" w:sz="6" w:space="0" w:color="C9D2DE"/>
            </w:tcBorders>
            <w:shd w:val="clear" w:color="auto" w:fill="EDF1F7"/>
            <w:hideMark/>
          </w:tcPr>
          <w:p w14:paraId="2E48D590"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 </w:t>
            </w:r>
          </w:p>
        </w:tc>
        <w:tc>
          <w:tcPr>
            <w:tcW w:w="1530" w:type="dxa"/>
            <w:tcBorders>
              <w:top w:val="single" w:sz="6" w:space="0" w:color="C9D2DE"/>
              <w:left w:val="single" w:sz="6" w:space="0" w:color="C9D2DE"/>
              <w:bottom w:val="single" w:sz="6" w:space="0" w:color="AAB4C4"/>
              <w:right w:val="single" w:sz="6" w:space="0" w:color="C9D2DE"/>
            </w:tcBorders>
            <w:shd w:val="clear" w:color="auto" w:fill="EDF1F7"/>
            <w:hideMark/>
          </w:tcPr>
          <w:p w14:paraId="3B35B693"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 </w:t>
            </w:r>
          </w:p>
        </w:tc>
        <w:tc>
          <w:tcPr>
            <w:tcW w:w="1035" w:type="dxa"/>
            <w:tcBorders>
              <w:top w:val="single" w:sz="6" w:space="0" w:color="C9D2DE"/>
              <w:left w:val="single" w:sz="6" w:space="0" w:color="C9D2DE"/>
              <w:bottom w:val="single" w:sz="6" w:space="0" w:color="AAB4C4"/>
              <w:right w:val="single" w:sz="6" w:space="0" w:color="C9D2DE"/>
            </w:tcBorders>
            <w:shd w:val="clear" w:color="auto" w:fill="EDF1F7"/>
            <w:hideMark/>
          </w:tcPr>
          <w:p w14:paraId="16AA0743"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 </w:t>
            </w:r>
          </w:p>
        </w:tc>
        <w:tc>
          <w:tcPr>
            <w:tcW w:w="1020" w:type="dxa"/>
            <w:tcBorders>
              <w:top w:val="single" w:sz="6" w:space="0" w:color="C9D2DE"/>
              <w:left w:val="single" w:sz="6" w:space="0" w:color="C9D2DE"/>
              <w:bottom w:val="single" w:sz="6" w:space="0" w:color="AAB4C4"/>
              <w:right w:val="single" w:sz="6" w:space="0" w:color="C9D2DE"/>
            </w:tcBorders>
            <w:shd w:val="clear" w:color="auto" w:fill="EDF1F7"/>
            <w:hideMark/>
          </w:tcPr>
          <w:p w14:paraId="13E5515C"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 </w:t>
            </w:r>
          </w:p>
        </w:tc>
        <w:tc>
          <w:tcPr>
            <w:tcW w:w="4185" w:type="dxa"/>
            <w:tcBorders>
              <w:top w:val="single" w:sz="6" w:space="0" w:color="C9D2DE"/>
              <w:left w:val="single" w:sz="6" w:space="0" w:color="C9D2DE"/>
              <w:bottom w:val="single" w:sz="6" w:space="0" w:color="AAB4C4"/>
              <w:right w:val="single" w:sz="6" w:space="0" w:color="AAB4C4"/>
            </w:tcBorders>
            <w:shd w:val="clear" w:color="auto" w:fill="EDF1F7"/>
            <w:hideMark/>
          </w:tcPr>
          <w:p w14:paraId="5F6EFCDA" w14:textId="77777777" w:rsidR="00F42431" w:rsidRPr="00F42431" w:rsidRDefault="00F42431" w:rsidP="00F42431">
            <w:pPr>
              <w:spacing w:after="0" w:line="240" w:lineRule="auto"/>
              <w:textAlignment w:val="baseline"/>
              <w:rPr>
                <w:rFonts w:ascii="Segoe UI" w:eastAsia="Times New Roman" w:hAnsi="Segoe UI" w:cs="Segoe UI"/>
                <w:kern w:val="0"/>
                <w:sz w:val="18"/>
                <w:szCs w:val="18"/>
                <w14:ligatures w14:val="none"/>
              </w:rPr>
            </w:pPr>
            <w:r w:rsidRPr="00F42431">
              <w:rPr>
                <w:rFonts w:ascii="Calibri" w:eastAsia="Times New Roman" w:hAnsi="Calibri" w:cs="Calibri"/>
                <w:color w:val="000000"/>
                <w:kern w:val="0"/>
                <w:sz w:val="18"/>
                <w:szCs w:val="18"/>
                <w14:ligatures w14:val="none"/>
              </w:rPr>
              <w:t> </w:t>
            </w:r>
          </w:p>
        </w:tc>
      </w:tr>
    </w:tbl>
    <w:p w14:paraId="26664DD1" w14:textId="77777777" w:rsidR="004217BE" w:rsidRDefault="004217BE"/>
    <w:sectPr w:rsidR="004217BE">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0947728" w14:textId="77777777" w:rsidR="003A4B37" w:rsidRDefault="003A4B37" w:rsidP="00013877">
      <w:pPr>
        <w:spacing w:after="0" w:line="240" w:lineRule="auto"/>
      </w:pPr>
      <w:r>
        <w:separator/>
      </w:r>
    </w:p>
  </w:endnote>
  <w:endnote w:type="continuationSeparator" w:id="0">
    <w:p w14:paraId="544DCDC1" w14:textId="77777777" w:rsidR="003A4B37" w:rsidRDefault="003A4B37" w:rsidP="00013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1203F2" w14:textId="08D5B810" w:rsidR="00013877" w:rsidRDefault="00013877">
    <w:pPr>
      <w:pStyle w:val="Footer"/>
    </w:pPr>
    <w:r>
      <w:rPr>
        <w:noProof/>
      </w:rPr>
      <mc:AlternateContent>
        <mc:Choice Requires="wps">
          <w:drawing>
            <wp:anchor distT="0" distB="0" distL="0" distR="0" simplePos="0" relativeHeight="251659264" behindDoc="0" locked="0" layoutInCell="1" allowOverlap="1" wp14:anchorId="0A02F3EA" wp14:editId="078D0A74">
              <wp:simplePos x="635" y="635"/>
              <wp:positionH relativeFrom="page">
                <wp:align>right</wp:align>
              </wp:positionH>
              <wp:positionV relativeFrom="page">
                <wp:align>bottom</wp:align>
              </wp:positionV>
              <wp:extent cx="1170305" cy="370205"/>
              <wp:effectExtent l="0" t="0" r="0" b="0"/>
              <wp:wrapNone/>
              <wp:docPr id="427259451"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70205"/>
                      </a:xfrm>
                      <a:prstGeom prst="rect">
                        <a:avLst/>
                      </a:prstGeom>
                      <a:noFill/>
                      <a:ln>
                        <a:noFill/>
                      </a:ln>
                    </wps:spPr>
                    <wps:txbx>
                      <w:txbxContent>
                        <w:p w14:paraId="202AB925" w14:textId="220D8407" w:rsidR="00013877" w:rsidRPr="00013877" w:rsidRDefault="00013877" w:rsidP="00013877">
                          <w:pPr>
                            <w:spacing w:after="0"/>
                            <w:rPr>
                              <w:rFonts w:ascii="Aptos" w:eastAsia="Aptos" w:hAnsi="Aptos" w:cs="Aptos"/>
                              <w:noProof/>
                              <w:color w:val="000000"/>
                              <w:sz w:val="20"/>
                              <w:szCs w:val="20"/>
                            </w:rPr>
                          </w:pPr>
                          <w:r w:rsidRPr="00013877">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A02F3EA" id="_x0000_t202" coordsize="21600,21600" o:spt="202" path="m,l,21600r21600,l21600,xe">
              <v:stroke joinstyle="miter"/>
              <v:path gradientshapeok="t" o:connecttype="rect"/>
            </v:shapetype>
            <v:shape id="Text Box 2" o:spid="_x0000_s1026" type="#_x0000_t202" alt="Official Use Only" style="position:absolute;margin-left:40.95pt;margin-top:0;width:92.15pt;height:29.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TnEbDwIAABsEAAAOAAAAZHJzL2Uyb0RvYy54bWysU8Fu2zAMvQ/YPwi6L3bSZe2MOEXWIsOA&#13;&#10;oi2QDj0rshwbkESBUmJnXz9KdpKt22nYRaZI+pF8fFrc9kazg0Lfgi35dJJzpqyEqrW7kn9/WX+4&#13;&#10;4cwHYSuhwaqSH5Xnt8v37xadK9QMGtCVQkYg1hedK3kTgiuyzMtGGeEn4JSlYA1oRKAr7rIKRUfo&#13;&#10;RmezPP+UdYCVQ5DKe/LeD0G+TPh1rWR4qmuvAtMlp95COjGd23hmy4Uodihc08qxDfEPXRjRWip6&#13;&#10;hroXQbA9tn9AmVYieKjDRILJoK5bqdIMNM00fzPNphFOpVmIHO/ONPn/BysfDxv3jCz0X6CnBUZC&#13;&#10;OucLT844T1+jiV/qlFGcKDyeaVN9YDL+NL3Or/I5Z5JiV9f5jGyCyS5/O/ThqwLDolFypLUktsTh&#13;&#10;wYch9ZQSi1lYt1qn1Wj7m4Mwoye7tBit0G/7se8tVEcaB2HYtHdy3VLNB+HDs0BaLU1Acg1PdNQa&#13;&#10;upLDaHHWAP74mz/mE+MU5awjqZTckpY5098sbSKq6mRgMmbzj3lO7m26TT/n83ize3MHpMIpPQgn&#13;&#10;k0leDPpk1gjmldS8itUoJKykmiXfnsy7MAiXXoNUq1VKIhU5ER7sxskIHcmKTL70rwLdSHegRT3C&#13;&#10;SUyieMP6kBv/9G61D8R9WkkkdmBz5JsUmJY6vpYo8V/vKevyppc/AQAA//8DAFBLAwQUAAYACAAA&#13;&#10;ACEAVVnSyOAAAAAJAQAADwAAAGRycy9kb3ducmV2LnhtbEyPUUvDMBSF3wX/Q7iCL+LSuVlK13TM&#13;&#10;iQ/CGDhFX9Pm2pYlNyXJuu7fL9uLvhy4HM655yuWo9FsQOc7SwKmkwQYUm1VR42Ar8+3xwyYD5KU&#13;&#10;1JZQwAk9LMvbm0Lmyh7pA4ddaFgsIZ9LAW0Ifc65r1s00k9sjxS9X+uMDPF0DVdOHmO50fwpSVJu&#13;&#10;ZEfxQyt7XLdY73cHI+DlwX9Xm707vW/nNv0Z1qnut6kQ93fj6yLKagEs4Bj+EnBhiPuhjMMqeyDl&#13;&#10;mRYQacJVL142nwGrBDxnM+Blwf8TlGcAAAD//wMAUEsBAi0AFAAGAAgAAAAhALaDOJL+AAAA4QEA&#13;&#10;ABMAAAAAAAAAAAAAAAAAAAAAAFtDb250ZW50X1R5cGVzXS54bWxQSwECLQAUAAYACAAAACEAOP0h&#13;&#10;/9YAAACUAQAACwAAAAAAAAAAAAAAAAAvAQAAX3JlbHMvLnJlbHNQSwECLQAUAAYACAAAACEA4E5x&#13;&#10;Gw8CAAAbBAAADgAAAAAAAAAAAAAAAAAuAgAAZHJzL2Uyb0RvYy54bWxQSwECLQAUAAYACAAAACEA&#13;&#10;VVnSyOAAAAAJAQAADwAAAAAAAAAAAAAAAABpBAAAZHJzL2Rvd25yZXYueG1sUEsFBgAAAAAEAAQA&#13;&#10;8wAAAHYFAAAAAA==&#13;&#10;" filled="f" stroked="f">
              <v:fill o:detectmouseclick="t"/>
              <v:textbox style="mso-fit-shape-to-text:t" inset="0,0,20pt,15pt">
                <w:txbxContent>
                  <w:p w14:paraId="202AB925" w14:textId="220D8407" w:rsidR="00013877" w:rsidRPr="00013877" w:rsidRDefault="00013877" w:rsidP="00013877">
                    <w:pPr>
                      <w:spacing w:after="0"/>
                      <w:rPr>
                        <w:rFonts w:ascii="Aptos" w:eastAsia="Aptos" w:hAnsi="Aptos" w:cs="Aptos"/>
                        <w:noProof/>
                        <w:color w:val="000000"/>
                        <w:sz w:val="20"/>
                        <w:szCs w:val="20"/>
                      </w:rPr>
                    </w:pPr>
                    <w:r w:rsidRPr="00013877">
                      <w:rPr>
                        <w:rFonts w:ascii="Aptos" w:eastAsia="Aptos" w:hAnsi="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794174" w14:textId="6E7A6F26" w:rsidR="00013877" w:rsidRDefault="00013877">
    <w:pPr>
      <w:pStyle w:val="Footer"/>
    </w:pPr>
    <w:r>
      <w:rPr>
        <w:noProof/>
      </w:rPr>
      <mc:AlternateContent>
        <mc:Choice Requires="wps">
          <w:drawing>
            <wp:anchor distT="0" distB="0" distL="0" distR="0" simplePos="0" relativeHeight="251660288" behindDoc="0" locked="0" layoutInCell="1" allowOverlap="1" wp14:anchorId="6A06F1C0" wp14:editId="0972B07A">
              <wp:simplePos x="0" y="0"/>
              <wp:positionH relativeFrom="page">
                <wp:align>right</wp:align>
              </wp:positionH>
              <wp:positionV relativeFrom="page">
                <wp:align>bottom</wp:align>
              </wp:positionV>
              <wp:extent cx="1170305" cy="370205"/>
              <wp:effectExtent l="0" t="0" r="0" b="0"/>
              <wp:wrapNone/>
              <wp:docPr id="1736283200"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70205"/>
                      </a:xfrm>
                      <a:prstGeom prst="rect">
                        <a:avLst/>
                      </a:prstGeom>
                      <a:noFill/>
                      <a:ln>
                        <a:noFill/>
                      </a:ln>
                    </wps:spPr>
                    <wps:txbx>
                      <w:txbxContent>
                        <w:p w14:paraId="4D436087" w14:textId="2CDAFD80" w:rsidR="00013877" w:rsidRPr="00013877" w:rsidRDefault="00013877" w:rsidP="00013877">
                          <w:pPr>
                            <w:spacing w:after="0"/>
                            <w:rPr>
                              <w:rFonts w:ascii="Aptos" w:eastAsia="Aptos" w:hAnsi="Aptos" w:cs="Aptos"/>
                              <w:noProof/>
                              <w:color w:val="000000"/>
                              <w:sz w:val="20"/>
                              <w:szCs w:val="20"/>
                            </w:rPr>
                          </w:pPr>
                          <w:r w:rsidRPr="00013877">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A06F1C0" id="_x0000_t202" coordsize="21600,21600" o:spt="202" path="m,l,21600r21600,l21600,xe">
              <v:stroke joinstyle="miter"/>
              <v:path gradientshapeok="t" o:connecttype="rect"/>
            </v:shapetype>
            <v:shape id="Text Box 3" o:spid="_x0000_s1027" type="#_x0000_t202" alt="Official Use Only" style="position:absolute;margin-left:40.95pt;margin-top:0;width:92.15pt;height:29.1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3ro2EQIAACIEAAAOAAAAZHJzL2Uyb0RvYy54bWysU01v2zAMvQ/YfxB0X+yky7oZcYqsRYYB&#13;&#10;QVsgHXpWZDk2IIkCpcTOfv0oOR9d11Oxi0yRND/ee5rd9EazvULfgi35eJRzpqyEqrXbkv96Wn76&#13;&#10;ypkPwlZCg1UlPyjPb+YfP8w6V6gJNKArhYyKWF90ruRNCK7IMi8bZYQfgVOWgjWgEYGuuM0qFB1V&#13;&#10;Nzqb5PmXrAOsHIJU3pP3bgjyeapf10qGh7r2KjBdcpotpBPTuYlnNp+JYovCNa08jiHeMYURraWm&#13;&#10;51J3Igi2w/afUqaVCB7qMJJgMqjrVqq0A20zzl9ts26EU2kXAse7M0z+/5WV9/u1e0QW+u/QE4ER&#13;&#10;kM75wpMz7tPXaOKXJmUUJwgPZ9hUH5iMP42v86t8ypmk2NV1PiGbymSXvx368EOBYdEoORItCS2x&#13;&#10;X/kwpJ5SYjMLy1brRI22fzmoZvRklxGjFfpNz9rqxfgbqA60FcJAuHdy2VLrlfDhUSAxTIuQasMD&#13;&#10;HbWGruRwtDhrAH+/5Y/5BDxFOetIMSW3JGnO9E9LhERxnQxMxmT6Oc/JvUm38bd8Gm92Z26BxDim&#13;&#10;d+FkMsmLQZ/MGsE8k6gXsRuFhJXUs+Sbk3kbBv3So5BqsUhJJCYnwsqunYylI2YR0Kf+WaA7oh6I&#13;&#10;r3s4aUoUr8AfcuOf3i12gShIzER8BzSPsJMQE7fHRxOV/vKesi5Pe/4HAAD//wMAUEsDBBQABgAI&#13;&#10;AAAAIQBVWdLI4AAAAAkBAAAPAAAAZHJzL2Rvd25yZXYueG1sTI9RS8MwFIXfBf9DuIIv4tK5WUrX&#13;&#10;dMyJD8IYOEVf0+baliU3Jcm67t8v24u+HLgczrnnK5aj0WxA5ztLAqaTBBhSbVVHjYCvz7fHDJgP&#13;&#10;kpTUllDACT0sy9ubQubKHukDh11oWCwhn0sBbQh9zrmvWzTST2yPFL1f64wM8XQNV04eY7nR/ClJ&#13;&#10;Um5kR/FDK3tct1jvdwcj4OXBf1ebvTu9b+c2/RnWqe63qRD3d+PrIspqASzgGP4ScGGI+6GMwyp7&#13;&#10;IOWZFhBpwlUvXjafAasEPGcz4GXB/xOUZwAAAP//AwBQSwECLQAUAAYACAAAACEAtoM4kv4AAADh&#13;&#10;AQAAEwAAAAAAAAAAAAAAAAAAAAAAW0NvbnRlbnRfVHlwZXNdLnhtbFBLAQItABQABgAIAAAAIQA4&#13;&#10;/SH/1gAAAJQBAAALAAAAAAAAAAAAAAAAAC8BAABfcmVscy8ucmVsc1BLAQItABQABgAIAAAAIQBd&#13;&#10;3ro2EQIAACIEAAAOAAAAAAAAAAAAAAAAAC4CAABkcnMvZTJvRG9jLnhtbFBLAQItABQABgAIAAAA&#13;&#10;IQBVWdLI4AAAAAkBAAAPAAAAAAAAAAAAAAAAAGsEAABkcnMvZG93bnJldi54bWxQSwUGAAAAAAQA&#13;&#10;BADzAAAAeAUAAAAA&#13;&#10;" filled="f" stroked="f">
              <v:fill o:detectmouseclick="t"/>
              <v:textbox style="mso-fit-shape-to-text:t" inset="0,0,20pt,15pt">
                <w:txbxContent>
                  <w:p w14:paraId="4D436087" w14:textId="2CDAFD80" w:rsidR="00013877" w:rsidRPr="00013877" w:rsidRDefault="00013877" w:rsidP="00013877">
                    <w:pPr>
                      <w:spacing w:after="0"/>
                      <w:rPr>
                        <w:rFonts w:ascii="Aptos" w:eastAsia="Aptos" w:hAnsi="Aptos" w:cs="Aptos"/>
                        <w:noProof/>
                        <w:color w:val="000000"/>
                        <w:sz w:val="20"/>
                        <w:szCs w:val="20"/>
                      </w:rPr>
                    </w:pPr>
                    <w:r w:rsidRPr="00013877">
                      <w:rPr>
                        <w:rFonts w:ascii="Aptos" w:eastAsia="Aptos" w:hAnsi="Aptos" w:cs="Aptos"/>
                        <w:noProof/>
                        <w:color w:val="000000"/>
                        <w:sz w:val="2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24AB90" w14:textId="1AF95984" w:rsidR="00013877" w:rsidRDefault="00013877">
    <w:pPr>
      <w:pStyle w:val="Footer"/>
    </w:pPr>
    <w:r>
      <w:rPr>
        <w:noProof/>
      </w:rPr>
      <mc:AlternateContent>
        <mc:Choice Requires="wps">
          <w:drawing>
            <wp:anchor distT="0" distB="0" distL="0" distR="0" simplePos="0" relativeHeight="251658240" behindDoc="0" locked="0" layoutInCell="1" allowOverlap="1" wp14:anchorId="6AEBDE5D" wp14:editId="3505BAF8">
              <wp:simplePos x="635" y="635"/>
              <wp:positionH relativeFrom="page">
                <wp:align>right</wp:align>
              </wp:positionH>
              <wp:positionV relativeFrom="page">
                <wp:align>bottom</wp:align>
              </wp:positionV>
              <wp:extent cx="1170305" cy="370205"/>
              <wp:effectExtent l="0" t="0" r="0" b="0"/>
              <wp:wrapNone/>
              <wp:docPr id="487419345"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70205"/>
                      </a:xfrm>
                      <a:prstGeom prst="rect">
                        <a:avLst/>
                      </a:prstGeom>
                      <a:noFill/>
                      <a:ln>
                        <a:noFill/>
                      </a:ln>
                    </wps:spPr>
                    <wps:txbx>
                      <w:txbxContent>
                        <w:p w14:paraId="7FBA8389" w14:textId="31551502" w:rsidR="00013877" w:rsidRPr="00013877" w:rsidRDefault="00013877" w:rsidP="00013877">
                          <w:pPr>
                            <w:spacing w:after="0"/>
                            <w:rPr>
                              <w:rFonts w:ascii="Aptos" w:eastAsia="Aptos" w:hAnsi="Aptos" w:cs="Aptos"/>
                              <w:noProof/>
                              <w:color w:val="000000"/>
                              <w:sz w:val="20"/>
                              <w:szCs w:val="20"/>
                            </w:rPr>
                          </w:pPr>
                          <w:r w:rsidRPr="00013877">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AEBDE5D" id="_x0000_t202" coordsize="21600,21600" o:spt="202" path="m,l,21600r21600,l21600,xe">
              <v:stroke joinstyle="miter"/>
              <v:path gradientshapeok="t" o:connecttype="rect"/>
            </v:shapetype>
            <v:shape id="Text Box 1" o:spid="_x0000_s1028" type="#_x0000_t202" alt="Official Use Only" style="position:absolute;margin-left:40.95pt;margin-top:0;width:92.15pt;height:29.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SEl0EwIAACIEAAAOAAAAZHJzL2Uyb0RvYy54bWysU01v2zAMvQ/YfxB0X+yky9oZcYqsRYYB&#13;&#10;RVsgHXpWZDk2IIkCpcTOfv0oOU62bqdhF5kiaX6897S47Y1mB4W+BVvy6STnTFkJVWt3Jf/+sv5w&#13;&#10;w5kPwlZCg1UlPyrPb5fv3y06V6gZNKArhYyKWF90ruRNCK7IMi8bZYSfgFOWgjWgEYGuuMsqFB1V&#13;&#10;Nzqb5fmnrAOsHIJU3pP3fgjyZapf10qGp7r2KjBdcpotpBPTuY1ntlyIYofCNa08jSH+YQojWktN&#13;&#10;z6XuRRBsj+0fpUwrETzUYSLBZFDXrVRpB9pmmr/ZZtMIp9IuBI53Z5j8/ysrHw8b94ws9F+gJwIj&#13;&#10;IJ3zhSdn3Kev0cQvTcooThAez7CpPjAZf5pe51f5nDNJsavrfEY2lckufzv04asCw6JRciRaElri&#13;&#10;8ODDkDqmxGYW1q3WiRptf3NQzejJLiNGK/TbnrVVyWfj+FuojrQVwkC4d3LdUusH4cOzQGKYFiHV&#13;&#10;hic6ag1dyeFkcdYA/vibP+YT8BTlrCPFlNySpDnT3ywREsU1GpiM2fxjnpN7m27Tz/k83uze3AGJ&#13;&#10;cUrvwslkkheDHs0awbySqFexG4WEldSz5NvRvAuDfulRSLVapSQSkxPhwW6cjKUjZhHQl/5VoDuh&#13;&#10;HoivRxg1JYo34A+58U/vVvtAFCRmIr4DmifYSYiJ29OjiUr/9Z6yLk97+RMAAP//AwBQSwMEFAAG&#13;&#10;AAgAAAAhAFVZ0sjgAAAACQEAAA8AAABkcnMvZG93bnJldi54bWxMj1FLwzAUhd8F/0O4gi/i0rlZ&#13;&#10;Std0zIkPwhg4RV/T5tqWJTclybru3y/bi74cuBzOuecrlqPRbEDnO0sCppMEGFJtVUeNgK/Pt8cM&#13;&#10;mA+SlNSWUMAJPSzL25tC5soe6QOHXWhYLCGfSwFtCH3Oua9bNNJPbI8UvV/rjAzxdA1XTh5judH8&#13;&#10;KUlSbmRH8UMre1y3WO93ByPg5cF/V5u9O71v5zb9Gdap7repEPd34+siymoBLOAY/hJwYYj7oYzD&#13;&#10;Knsg5ZkWEGnCVS9eNp8BqwQ8ZzPgZcH/E5RnAAAA//8DAFBLAQItABQABgAIAAAAIQC2gziS/gAA&#13;&#10;AOEBAAATAAAAAAAAAAAAAAAAAAAAAABbQ29udGVudF9UeXBlc10ueG1sUEsBAi0AFAAGAAgAAAAh&#13;&#10;ADj9If/WAAAAlAEAAAsAAAAAAAAAAAAAAAAALwEAAF9yZWxzLy5yZWxzUEsBAi0AFAAGAAgAAAAh&#13;&#10;AAxISXQTAgAAIgQAAA4AAAAAAAAAAAAAAAAALgIAAGRycy9lMm9Eb2MueG1sUEsBAi0AFAAGAAgA&#13;&#10;AAAhAFVZ0sjgAAAACQEAAA8AAAAAAAAAAAAAAAAAbQQAAGRycy9kb3ducmV2LnhtbFBLBQYAAAAA&#13;&#10;BAAEAPMAAAB6BQAAAAA=&#13;&#10;" filled="f" stroked="f">
              <v:fill o:detectmouseclick="t"/>
              <v:textbox style="mso-fit-shape-to-text:t" inset="0,0,20pt,15pt">
                <w:txbxContent>
                  <w:p w14:paraId="7FBA8389" w14:textId="31551502" w:rsidR="00013877" w:rsidRPr="00013877" w:rsidRDefault="00013877" w:rsidP="00013877">
                    <w:pPr>
                      <w:spacing w:after="0"/>
                      <w:rPr>
                        <w:rFonts w:ascii="Aptos" w:eastAsia="Aptos" w:hAnsi="Aptos" w:cs="Aptos"/>
                        <w:noProof/>
                        <w:color w:val="000000"/>
                        <w:sz w:val="20"/>
                        <w:szCs w:val="20"/>
                      </w:rPr>
                    </w:pPr>
                    <w:r w:rsidRPr="00013877">
                      <w:rPr>
                        <w:rFonts w:ascii="Aptos" w:eastAsia="Aptos" w:hAnsi="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F13B1A" w14:textId="77777777" w:rsidR="003A4B37" w:rsidRDefault="003A4B37" w:rsidP="00013877">
      <w:pPr>
        <w:spacing w:after="0" w:line="240" w:lineRule="auto"/>
      </w:pPr>
      <w:r>
        <w:separator/>
      </w:r>
    </w:p>
  </w:footnote>
  <w:footnote w:type="continuationSeparator" w:id="0">
    <w:p w14:paraId="4E63C4DD" w14:textId="77777777" w:rsidR="003A4B37" w:rsidRDefault="003A4B37" w:rsidP="000138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DE0372"/>
    <w:multiLevelType w:val="multilevel"/>
    <w:tmpl w:val="ADB0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7831F0"/>
    <w:multiLevelType w:val="multilevel"/>
    <w:tmpl w:val="06B6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6A7907"/>
    <w:multiLevelType w:val="multilevel"/>
    <w:tmpl w:val="B6AA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970ED2"/>
    <w:multiLevelType w:val="multilevel"/>
    <w:tmpl w:val="789E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472A4F"/>
    <w:multiLevelType w:val="multilevel"/>
    <w:tmpl w:val="998C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86340A"/>
    <w:multiLevelType w:val="multilevel"/>
    <w:tmpl w:val="4EDE2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F979DC"/>
    <w:multiLevelType w:val="multilevel"/>
    <w:tmpl w:val="847C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1561FF"/>
    <w:multiLevelType w:val="multilevel"/>
    <w:tmpl w:val="6CAA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797085B"/>
    <w:multiLevelType w:val="multilevel"/>
    <w:tmpl w:val="5F12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F3477A"/>
    <w:multiLevelType w:val="multilevel"/>
    <w:tmpl w:val="C8B4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95D0D1C"/>
    <w:multiLevelType w:val="multilevel"/>
    <w:tmpl w:val="2BDAA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92087F"/>
    <w:multiLevelType w:val="multilevel"/>
    <w:tmpl w:val="4772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DDB586D"/>
    <w:multiLevelType w:val="multilevel"/>
    <w:tmpl w:val="43EE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1596F88"/>
    <w:multiLevelType w:val="multilevel"/>
    <w:tmpl w:val="1EC2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1D72F86"/>
    <w:multiLevelType w:val="multilevel"/>
    <w:tmpl w:val="B1EA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3A335D7"/>
    <w:multiLevelType w:val="multilevel"/>
    <w:tmpl w:val="7448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94628B"/>
    <w:multiLevelType w:val="multilevel"/>
    <w:tmpl w:val="95B6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EA3C2B"/>
    <w:multiLevelType w:val="multilevel"/>
    <w:tmpl w:val="D74E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51A4181"/>
    <w:multiLevelType w:val="multilevel"/>
    <w:tmpl w:val="6602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7775237"/>
    <w:multiLevelType w:val="multilevel"/>
    <w:tmpl w:val="B49C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7B82180"/>
    <w:multiLevelType w:val="multilevel"/>
    <w:tmpl w:val="D92E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BD3667E"/>
    <w:multiLevelType w:val="multilevel"/>
    <w:tmpl w:val="9078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EAB06AF"/>
    <w:multiLevelType w:val="multilevel"/>
    <w:tmpl w:val="0A66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E015AE0"/>
    <w:multiLevelType w:val="multilevel"/>
    <w:tmpl w:val="FAFE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12450F4"/>
    <w:multiLevelType w:val="multilevel"/>
    <w:tmpl w:val="C83C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74264EF"/>
    <w:multiLevelType w:val="multilevel"/>
    <w:tmpl w:val="E044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8B86A44"/>
    <w:multiLevelType w:val="multilevel"/>
    <w:tmpl w:val="FFB8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A304557"/>
    <w:multiLevelType w:val="multilevel"/>
    <w:tmpl w:val="CF34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37403285">
    <w:abstractNumId w:val="8"/>
  </w:num>
  <w:num w:numId="2" w16cid:durableId="1692605907">
    <w:abstractNumId w:val="22"/>
  </w:num>
  <w:num w:numId="3" w16cid:durableId="1833597249">
    <w:abstractNumId w:val="24"/>
  </w:num>
  <w:num w:numId="4" w16cid:durableId="2034307784">
    <w:abstractNumId w:val="26"/>
  </w:num>
  <w:num w:numId="5" w16cid:durableId="93668049">
    <w:abstractNumId w:val="19"/>
  </w:num>
  <w:num w:numId="6" w16cid:durableId="1446608318">
    <w:abstractNumId w:val="3"/>
  </w:num>
  <w:num w:numId="7" w16cid:durableId="1455252729">
    <w:abstractNumId w:val="20"/>
  </w:num>
  <w:num w:numId="8" w16cid:durableId="2000038948">
    <w:abstractNumId w:val="0"/>
  </w:num>
  <w:num w:numId="9" w16cid:durableId="250163647">
    <w:abstractNumId w:val="7"/>
  </w:num>
  <w:num w:numId="10" w16cid:durableId="977151716">
    <w:abstractNumId w:val="15"/>
  </w:num>
  <w:num w:numId="11" w16cid:durableId="522981509">
    <w:abstractNumId w:val="9"/>
  </w:num>
  <w:num w:numId="12" w16cid:durableId="2018992538">
    <w:abstractNumId w:val="27"/>
  </w:num>
  <w:num w:numId="13" w16cid:durableId="1073967936">
    <w:abstractNumId w:val="10"/>
  </w:num>
  <w:num w:numId="14" w16cid:durableId="1006443275">
    <w:abstractNumId w:val="6"/>
  </w:num>
  <w:num w:numId="15" w16cid:durableId="684747826">
    <w:abstractNumId w:val="13"/>
  </w:num>
  <w:num w:numId="16" w16cid:durableId="828984378">
    <w:abstractNumId w:val="25"/>
  </w:num>
  <w:num w:numId="17" w16cid:durableId="317072813">
    <w:abstractNumId w:val="5"/>
  </w:num>
  <w:num w:numId="18" w16cid:durableId="1282953268">
    <w:abstractNumId w:val="2"/>
  </w:num>
  <w:num w:numId="19" w16cid:durableId="197789169">
    <w:abstractNumId w:val="12"/>
  </w:num>
  <w:num w:numId="20" w16cid:durableId="787889387">
    <w:abstractNumId w:val="11"/>
  </w:num>
  <w:num w:numId="21" w16cid:durableId="1722901047">
    <w:abstractNumId w:val="17"/>
  </w:num>
  <w:num w:numId="22" w16cid:durableId="558246833">
    <w:abstractNumId w:val="4"/>
  </w:num>
  <w:num w:numId="23" w16cid:durableId="1835222663">
    <w:abstractNumId w:val="23"/>
  </w:num>
  <w:num w:numId="24" w16cid:durableId="331951027">
    <w:abstractNumId w:val="21"/>
  </w:num>
  <w:num w:numId="25" w16cid:durableId="641345122">
    <w:abstractNumId w:val="14"/>
  </w:num>
  <w:num w:numId="26" w16cid:durableId="1696926635">
    <w:abstractNumId w:val="16"/>
  </w:num>
  <w:num w:numId="27" w16cid:durableId="1762987078">
    <w:abstractNumId w:val="18"/>
  </w:num>
  <w:num w:numId="28" w16cid:durableId="100906505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431"/>
    <w:rsid w:val="00013877"/>
    <w:rsid w:val="00360434"/>
    <w:rsid w:val="003A4B37"/>
    <w:rsid w:val="004217BE"/>
    <w:rsid w:val="00574132"/>
    <w:rsid w:val="00A15526"/>
    <w:rsid w:val="00AF6E0E"/>
    <w:rsid w:val="00F42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EBE0B0"/>
  <w15:chartTrackingRefBased/>
  <w15:docId w15:val="{A53366E5-FE8E-404F-BFF0-012CE7E03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24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24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24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24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24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24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4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4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4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4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24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24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24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24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24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4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4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431"/>
    <w:rPr>
      <w:rFonts w:eastAsiaTheme="majorEastAsia" w:cstheme="majorBidi"/>
      <w:color w:val="272727" w:themeColor="text1" w:themeTint="D8"/>
    </w:rPr>
  </w:style>
  <w:style w:type="paragraph" w:styleId="Title">
    <w:name w:val="Title"/>
    <w:basedOn w:val="Normal"/>
    <w:next w:val="Normal"/>
    <w:link w:val="TitleChar"/>
    <w:uiPriority w:val="10"/>
    <w:qFormat/>
    <w:rsid w:val="00F424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4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4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4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431"/>
    <w:pPr>
      <w:spacing w:before="160"/>
      <w:jc w:val="center"/>
    </w:pPr>
    <w:rPr>
      <w:i/>
      <w:iCs/>
      <w:color w:val="404040" w:themeColor="text1" w:themeTint="BF"/>
    </w:rPr>
  </w:style>
  <w:style w:type="character" w:customStyle="1" w:styleId="QuoteChar">
    <w:name w:val="Quote Char"/>
    <w:basedOn w:val="DefaultParagraphFont"/>
    <w:link w:val="Quote"/>
    <w:uiPriority w:val="29"/>
    <w:rsid w:val="00F42431"/>
    <w:rPr>
      <w:i/>
      <w:iCs/>
      <w:color w:val="404040" w:themeColor="text1" w:themeTint="BF"/>
    </w:rPr>
  </w:style>
  <w:style w:type="paragraph" w:styleId="ListParagraph">
    <w:name w:val="List Paragraph"/>
    <w:basedOn w:val="Normal"/>
    <w:uiPriority w:val="34"/>
    <w:qFormat/>
    <w:rsid w:val="00F42431"/>
    <w:pPr>
      <w:ind w:left="720"/>
      <w:contextualSpacing/>
    </w:pPr>
  </w:style>
  <w:style w:type="character" w:styleId="IntenseEmphasis">
    <w:name w:val="Intense Emphasis"/>
    <w:basedOn w:val="DefaultParagraphFont"/>
    <w:uiPriority w:val="21"/>
    <w:qFormat/>
    <w:rsid w:val="00F42431"/>
    <w:rPr>
      <w:i/>
      <w:iCs/>
      <w:color w:val="0F4761" w:themeColor="accent1" w:themeShade="BF"/>
    </w:rPr>
  </w:style>
  <w:style w:type="paragraph" w:styleId="IntenseQuote">
    <w:name w:val="Intense Quote"/>
    <w:basedOn w:val="Normal"/>
    <w:next w:val="Normal"/>
    <w:link w:val="IntenseQuoteChar"/>
    <w:uiPriority w:val="30"/>
    <w:qFormat/>
    <w:rsid w:val="00F424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2431"/>
    <w:rPr>
      <w:i/>
      <w:iCs/>
      <w:color w:val="0F4761" w:themeColor="accent1" w:themeShade="BF"/>
    </w:rPr>
  </w:style>
  <w:style w:type="character" w:styleId="IntenseReference">
    <w:name w:val="Intense Reference"/>
    <w:basedOn w:val="DefaultParagraphFont"/>
    <w:uiPriority w:val="32"/>
    <w:qFormat/>
    <w:rsid w:val="00F42431"/>
    <w:rPr>
      <w:b/>
      <w:bCs/>
      <w:smallCaps/>
      <w:color w:val="0F4761" w:themeColor="accent1" w:themeShade="BF"/>
      <w:spacing w:val="5"/>
    </w:rPr>
  </w:style>
  <w:style w:type="paragraph" w:customStyle="1" w:styleId="paragraph">
    <w:name w:val="paragraph"/>
    <w:basedOn w:val="Normal"/>
    <w:rsid w:val="00F4243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F42431"/>
  </w:style>
  <w:style w:type="character" w:customStyle="1" w:styleId="eop">
    <w:name w:val="eop"/>
    <w:basedOn w:val="DefaultParagraphFont"/>
    <w:rsid w:val="00F42431"/>
  </w:style>
  <w:style w:type="character" w:customStyle="1" w:styleId="apple-converted-space">
    <w:name w:val="apple-converted-space"/>
    <w:basedOn w:val="DefaultParagraphFont"/>
    <w:rsid w:val="00F42431"/>
  </w:style>
  <w:style w:type="paragraph" w:styleId="Footer">
    <w:name w:val="footer"/>
    <w:basedOn w:val="Normal"/>
    <w:link w:val="FooterChar"/>
    <w:uiPriority w:val="99"/>
    <w:unhideWhenUsed/>
    <w:rsid w:val="00013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38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1303</Words>
  <Characters>7433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Dunstan Matekenya</dc:creator>
  <cp:keywords/>
  <dc:description/>
  <cp:lastModifiedBy>Dunstan Matekenya</cp:lastModifiedBy>
  <cp:revision>1</cp:revision>
  <dcterms:created xsi:type="dcterms:W3CDTF">2026-10-09T16:14:00Z</dcterms:created>
  <dcterms:modified xsi:type="dcterms:W3CDTF">2026-10-10T20:27:00Z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1d0d6dd1,1977763b,677d9440</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2026-10-10T20:27:47Z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c4397ba3-57b1-4fe8-bff6-e7c6df9d5e6d</vt:lpwstr>
  </property>
  <property fmtid="{D5CDD505-2E9C-101B-9397-08002B2CF9AE}" pid="11" name="MSIP_Label_f1bf45b6-5649-4236-82a3-f45024cd282e_ContentBits">
    <vt:lpwstr>2</vt:lpwstr>
  </property>
  <property fmtid="{D5CDD505-2E9C-101B-9397-08002B2CF9AE}" pid="12" name="MSIP_Label_f1bf45b6-5649-4236-82a3-f45024cd282e_Tag">
    <vt:lpwstr>50, 3, 0, 1</vt:lpwstr>
  </property>
</Properties>
</file>