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Antigua and Barbuda Country Report</w:t>
      </w:r>
    </w:p>
    <w:bookmarkStart w:id="75" w:name="introduction"/>
    <w:p>
      <w:pPr>
        <w:pStyle w:val="Heading1"/>
      </w:pPr>
      <w:r>
        <w:t xml:space="preserve">Introduction</w:t>
      </w:r>
    </w:p>
    <w:p>
      <w:pPr>
        <w:pStyle w:val="FirstParagraph"/>
      </w:pPr>
      <w:r>
        <w:t xml:space="preserve">Antigua and Barbuda received a score of 63.2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Antigua and Barbuda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Antigua and Barbuda received a score of</w:t>
      </w:r>
      <w:r>
        <w:t xml:space="preserve"> </w:t>
      </w:r>
      <w:r>
        <w:rPr>
          <w:b/>
          <w:bCs/>
        </w:rPr>
        <w:t xml:space="preserve">62.9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Antigua and Barbuda received a score of 64.9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Antigua and Barbuda received a score of 53.2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Antigua and Barbuda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Antigua and Barbuda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Antigua and Barbuda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Antigua and Barbuda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Antigua and Barbuda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Antigua and Barbuda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Antigua and Barbuda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Antigua and Barbuda received a score of 0.6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Antigua and Barbuda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Antigua and Barbuda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Antigua and Barbuda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Antigua and Barbuda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Antigua and Barbuda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Antigua and Barbuda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2001,2007</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 2023, -99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-99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Antigua and Barbuda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2025-11-25T02:10:41Z</dcterms:created>
  <dcterms:modified xsi:type="dcterms:W3CDTF">2025-11-25T02:10:41Z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Antigua and Barbuda Country Report</vt:lpwstr>
  </property>
  <property fmtid="{D5CDD505-2E9C-101B-9397-08002B2CF9AE}" pid="10" name="toc-title">
    <vt:lpwstr>Table of contents</vt:lpwstr>
  </property>
</Properties>
</file>