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Bosnia and Herzegovina Country Report</w:t>
      </w:r>
    </w:p>
    <w:bookmarkStart w:id="75" w:name="introduction"/>
    <w:p>
      <w:pPr>
        <w:pStyle w:val="Heading1"/>
      </w:pPr>
      <w:r>
        <w:t xml:space="preserve">Introduction</w:t>
      </w:r>
    </w:p>
    <w:p>
      <w:pPr>
        <w:pStyle w:val="FirstParagraph"/>
      </w:pPr>
      <w:r>
        <w:t xml:space="preserve">Bosnia and Herzegovina received a score of 68.6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Bosnia and Herzegovina received a score of 70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Bosnia and Herzegovina received a score of</w:t>
      </w:r>
      <w:r>
        <w:t xml:space="preserve"> </w:t>
      </w:r>
      <w:r>
        <w:rPr>
          <w:b/>
          <w:bCs/>
        </w:rPr>
        <w:t xml:space="preserve">65.6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Bosnia and Herzegovina received a score of 73.8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Bosnia and Herzegovina received a score of 53.4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Bosnia and Herzegovina received a score of 80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Bosnia and Herzegovina received a score of 0.7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Bosnia and Herzegovina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Bosnia and Herzegovina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Bosnia and Herzegovina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Bosnia and Herzegovina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Bosnia and Herzegovina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Bosnia and Herzegovina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Bosnia and Herzegovina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Bosnia and Herzegovina received a score of 0.5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Bosnia and Herzegovina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Bosnia and Herzegovina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Bosnia and Herzegovina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Bosnia and Herzegovina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2001, 2002, 2003, 2004, 2007, 2011, 2015</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2005, 2006, 2007, 2008, 2009, 2010, 2011, 2012, 2013, 2014, 2015, 2016, 2017, 2018, 2019, 2020, 2021, 2022, 2023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2000, 2003, 2006, 2011</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2008, 2010, 2011, 2012, 2013, 2014, 2015, 2016, 2017, 2018, 2019, 2023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Bosnia and Herzegovina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2025-11-25T06:18:58Z</dcterms:created>
  <dcterms:modified xsi:type="dcterms:W3CDTF">2025-11-25T06:18:58Z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Bosnia and Herzegovina Country Report</vt:lpwstr>
  </property>
  <property fmtid="{D5CDD505-2E9C-101B-9397-08002B2CF9AE}" pid="10" name="toc-title">
    <vt:lpwstr>Table of contents</vt:lpwstr>
  </property>
</Properties>
</file>