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Colombia Country Report</w:t>
      </w:r>
    </w:p>
    <w:bookmarkStart w:id="75" w:name="introduction"/>
    <w:p>
      <w:pPr>
        <w:pStyle w:val="Heading1"/>
      </w:pPr>
      <w:r>
        <w:t xml:space="preserve">Introduction</w:t>
      </w:r>
    </w:p>
    <w:p>
      <w:pPr>
        <w:pStyle w:val="FirstParagraph"/>
      </w:pPr>
      <w:r>
        <w:t xml:space="preserve">Colombia received a score of 83.4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Colombia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Colombia received a score of</w:t>
      </w:r>
      <w:r>
        <w:t xml:space="preserve"> </w:t>
      </w:r>
      <w:r>
        <w:rPr>
          <w:b/>
          <w:bCs/>
        </w:rPr>
        <w:t xml:space="preserve">88.4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Colombia received a score of 86.3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Colombia received a score of 82.5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Colombia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Colombia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Colombia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Colombia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Colombia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Colombia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Colombia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Colombia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Colombia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Colombia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Colombia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Colombia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Colombia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Colombia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2006,2018</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2001,2014</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1986, 1987, 1988, 1989, 1990, 1991, 1992, 1993, 1995, 1996, 1997, 1999, 2000, 2001, 2002, 2003, 2004, 2005, 2006, 2007, 2008, 2009, 2010, 2011, 2012, 2013, 2014, 2015, 2016, 2017, 2018, 2019, 2020, 2021, 2022, 2023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2001, 2008, 2010, 2011, 2013, 2014, 2015, 2016, 2017, 2019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1986, 1990, 1995, 2000, 2004, 2005, 2006, 2009, 2010, 2015</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2006, 2007, 2008, 2009, 2010, 2011, 2012, 2013, 2014, 2015, 2016, 2017, 2018, 2019, 2023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Colombia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2025-11-25T02:19:18Z</dcterms:created>
  <dcterms:modified xsi:type="dcterms:W3CDTF">2025-11-25T02:19:18Z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Colombia Country Report</vt:lpwstr>
  </property>
  <property fmtid="{D5CDD505-2E9C-101B-9397-08002B2CF9AE}" pid="10" name="toc-title">
    <vt:lpwstr>Table of contents</vt:lpwstr>
  </property>
</Properties>
</file>