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Cote d’Ivoire Country Report</w:t>
      </w:r>
    </w:p>
    <w:bookmarkStart w:id="75" w:name="introduction"/>
    <w:p>
      <w:pPr>
        <w:pStyle w:val="Heading1"/>
      </w:pPr>
      <w:r>
        <w:t xml:space="preserve">Introduction</w:t>
      </w:r>
    </w:p>
    <w:p>
      <w:pPr>
        <w:pStyle w:val="FirstParagraph"/>
      </w:pPr>
      <w:r>
        <w:t xml:space="preserve">Cote d’Ivoire received a score of 70.2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Cote d’Ivoire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Cote d’Ivoire received a score of</w:t>
      </w:r>
      <w:r>
        <w:t xml:space="preserve"> </w:t>
      </w:r>
      <w:r>
        <w:rPr>
          <w:b/>
          <w:bCs/>
        </w:rPr>
        <w:t xml:space="preserve">76.3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Cote d’Ivoire received a score of 81.3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Cote d’Ivoire received a score of 43.4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Cote d’Ivoire received a score of 70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Cote d’Ivoire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Cote d’Ivoire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Cote d’Ivoire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Cote d’Ivoire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Cote d’Ivoire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Cote d’Ivoire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Cote d’Ivoire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Cote d’Ivoire received a score of 1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Cote d’Ivoire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Cote d’Ivoire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Cote d’Ivoire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Cote d’Ivoire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Cote d'Ivoire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1998,2014,2021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2001,2015</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1985, 1986, 1987, 1988, 1992, 1993, 1995, 1998, 2002, 2008, 2015, 2018, 2021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2012, 2013, 2016, 2017, 2019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1994, 1996, 1999, 2000, 2003, 2006, 2012, 2016</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2009, 2017</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Cote d'Ivoire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2025-11-25T04:40:09Z</dcterms:created>
  <dcterms:modified xsi:type="dcterms:W3CDTF">2025-11-25T04:40:09Z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Cote d’Ivoire Country Report</vt:lpwstr>
  </property>
  <property fmtid="{D5CDD505-2E9C-101B-9397-08002B2CF9AE}" pid="10" name="toc-title">
    <vt:lpwstr>Table of contents</vt:lpwstr>
  </property>
</Properties>
</file>