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Curacao Country Report</w:t>
      </w:r>
    </w:p>
    <w:bookmarkStart w:id="75" w:name="introduction"/>
    <w:p>
      <w:pPr>
        <w:pStyle w:val="Heading1"/>
      </w:pPr>
      <w:r>
        <w:t xml:space="preserve">Introduction</w:t>
      </w:r>
    </w:p>
    <w:p>
      <w:pPr>
        <w:pStyle w:val="FirstParagraph"/>
      </w:pPr>
      <w:r>
        <w:t xml:space="preserve">Curacao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Curacao received a score of 60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Curacao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Curacao received a score of 28.4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Curacao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Curacao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Curacao received a score of 0.6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Curacao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Curacao received a score of NA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Curacao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Curacao received a score of 0.2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Curacao received a score of 0.4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Curacao received a score of 0.2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Curacao received a score of 0.2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Curacao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Curacao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Curacao received a score of NA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Curacao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Curacao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Curacao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2025-11-25T02:22:53Z</dcterms:created>
  <dcterms:modified xsi:type="dcterms:W3CDTF">2025-11-25T02:22:53Z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Curacao Country Report</vt:lpwstr>
  </property>
  <property fmtid="{D5CDD505-2E9C-101B-9397-08002B2CF9AE}" pid="10" name="toc-title">
    <vt:lpwstr>Table of contents</vt:lpwstr>
  </property>
</Properties>
</file>