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Gabon Country Report</w:t>
      </w:r>
    </w:p>
    <w:bookmarkStart w:id="75" w:name="introduction"/>
    <w:p>
      <w:pPr>
        <w:pStyle w:val="Heading1"/>
      </w:pPr>
      <w:r>
        <w:t xml:space="preserve">Introduction</w:t>
      </w:r>
    </w:p>
    <w:p>
      <w:pPr>
        <w:pStyle w:val="FirstParagraph"/>
      </w:pPr>
      <w:r>
        <w:t xml:space="preserve">Gabon received a score of 45.5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Gabon received a score of 60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Gabon received a score of</w:t>
      </w:r>
      <w:r>
        <w:t xml:space="preserve"> </w:t>
      </w:r>
      <w:r>
        <w:rPr>
          <w:b/>
          <w:bCs/>
        </w:rPr>
        <w:t xml:space="preserve">30.2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Gabon received a score of 62.4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Gabon received a score of 29.8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Gabon received a score of 45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Gabon received a score of 0.6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Gabon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Gabon received a score of 0.4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Gabon received a score of 0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Gabon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Gabon received a score of 0.6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Gabon received a score of 0.5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Gabon received a score of 0.8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Gabon received a score of 0.6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Gabon received a score of 0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Gabon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Gabon received a score of 0.4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Gabon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2003,2013</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1994, 2005, 2017</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1996, 2000, 2012, 2019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Gabon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rev3</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2025-11-25T05:03:37Z</dcterms:created>
  <dcterms:modified xsi:type="dcterms:W3CDTF">2025-11-25T05:03:37Z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Gabon Country Report</vt:lpwstr>
  </property>
  <property fmtid="{D5CDD505-2E9C-101B-9397-08002B2CF9AE}" pid="10" name="toc-title">
    <vt:lpwstr>Table of contents</vt:lpwstr>
  </property>
</Properties>
</file>