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Gibraltar Country Report</w:t>
      </w:r>
    </w:p>
    <w:bookmarkStart w:id="75" w:name="introduction"/>
    <w:p>
      <w:pPr>
        <w:pStyle w:val="Heading1"/>
      </w:pPr>
      <w:r>
        <w:t xml:space="preserve">Introduction</w:t>
      </w:r>
    </w:p>
    <w:p>
      <w:pPr>
        <w:pStyle w:val="FirstParagraph"/>
      </w:pPr>
      <w:r>
        <w:t xml:space="preserve">Gibraltar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Gibraltar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Gibraltar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Gibraltar received a score of 21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Gibraltar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Gibraltar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Gibraltar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Gibraltar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Gibraltar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Gibraltar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Gibraltar received a score of 0.1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Gibraltar received a score of 0.3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Gibraltar received a score of 0.2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Gibraltar received a score of 0.2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Gibraltar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Gibraltar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Gibraltar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Gibraltar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Gibraltar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Gibraltar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2025-11-25T06:35:54Z</dcterms:created>
  <dcterms:modified xsi:type="dcterms:W3CDTF">2025-11-25T06:35:54Z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Gibraltar Country Report</vt:lpwstr>
  </property>
  <property fmtid="{D5CDD505-2E9C-101B-9397-08002B2CF9AE}" pid="10" name="toc-title">
    <vt:lpwstr>Table of contents</vt:lpwstr>
  </property>
</Properties>
</file>