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Guinea Country Report</w:t>
      </w:r>
    </w:p>
    <w:bookmarkStart w:id="75" w:name="introduction"/>
    <w:p>
      <w:pPr>
        <w:pStyle w:val="Heading1"/>
      </w:pPr>
      <w:r>
        <w:t xml:space="preserve">Introduction</w:t>
      </w:r>
    </w:p>
    <w:p>
      <w:pPr>
        <w:pStyle w:val="FirstParagraph"/>
      </w:pPr>
      <w:r>
        <w:t xml:space="preserve">Guinea received a score of 49.9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Guinea received a score of 66.6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Guinea received a score of</w:t>
      </w:r>
      <w:r>
        <w:t xml:space="preserve"> </w:t>
      </w:r>
      <w:r>
        <w:rPr>
          <w:b/>
          <w:bCs/>
        </w:rPr>
        <w:t xml:space="preserve">30.6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Guinea received a score of 62.7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Guinea received a score of 34.7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Guinea received a score of 55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Guinea received a score of 0.7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Guinea received a score of 0.5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Guinea received a score of 0.4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Guinea received a score of 0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Guinea received a score of 0.6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Guinea received a score of 0.7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Guinea received a score of 0.5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Guinea received a score of 0.8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Guinea received a score of 0.6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Guinea received a score of 0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Guinea received a score of 0.3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Guinea received a score of 0.6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Guinea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1996,2014</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2001,2021</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1991, 1994, 2002, 2007, 2012, 2018</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2019, -99</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1992, 1996, 1999, 2005, 2012, 2016, 2018</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Guinea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Original chained constant price data are rescaled.</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ISIC rev2</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2025-11-25T05:06:21Z</dcterms:created>
  <dcterms:modified xsi:type="dcterms:W3CDTF">2025-11-25T05:06:21Z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Guinea Country Report</vt:lpwstr>
  </property>
  <property fmtid="{D5CDD505-2E9C-101B-9397-08002B2CF9AE}" pid="10" name="toc-title">
    <vt:lpwstr>Table of contents</vt:lpwstr>
  </property>
</Properties>
</file>