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Iceland Country Report</w:t>
      </w:r>
    </w:p>
    <w:bookmarkStart w:id="75" w:name="introduction"/>
    <w:p>
      <w:pPr>
        <w:pStyle w:val="Heading1"/>
      </w:pPr>
      <w:r>
        <w:t xml:space="preserve">Introduction</w:t>
      </w:r>
    </w:p>
    <w:p>
      <w:pPr>
        <w:pStyle w:val="FirstParagraph"/>
      </w:pPr>
      <w:r>
        <w:t xml:space="preserve">Iceland received a score of 81.5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Iceland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Iceland received a score of</w:t>
      </w:r>
      <w:r>
        <w:t xml:space="preserve"> </w:t>
      </w:r>
      <w:r>
        <w:rPr>
          <w:b/>
          <w:bCs/>
        </w:rPr>
        <w:t xml:space="preserve">62.8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Iceland received a score of 76.6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Iceland received a score of 77.9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Iceland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Iceland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Iceland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Iceland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Iceland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Iceland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Iceland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Iceland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Iceland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Iceland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Iceland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Iceland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Iceland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Iceland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Iceland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2025-11-25T06:43:45Z</dcterms:created>
  <dcterms:modified xsi:type="dcterms:W3CDTF">2025-11-25T06:43:45Z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Iceland Country Report</vt:lpwstr>
  </property>
  <property fmtid="{D5CDD505-2E9C-101B-9397-08002B2CF9AE}" pid="10" name="toc-title">
    <vt:lpwstr>Table of contents</vt:lpwstr>
  </property>
</Properties>
</file>