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Iran, Islamic Rep. Country Report</w:t>
      </w:r>
    </w:p>
    <w:bookmarkStart w:id="75" w:name="introduction"/>
    <w:p>
      <w:pPr>
        <w:pStyle w:val="Heading1"/>
      </w:pPr>
      <w:r>
        <w:t xml:space="preserve">Introduction</w:t>
      </w:r>
    </w:p>
    <w:p>
      <w:pPr>
        <w:pStyle w:val="FirstParagraph"/>
      </w:pPr>
      <w:r>
        <w:t xml:space="preserve">Iran, Islamic Rep. received a score of 63.5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Iran, Islamic Rep. received a score of 66.6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Iran, Islamic Rep. received a score of</w:t>
      </w:r>
      <w:r>
        <w:t xml:space="preserve"> </w:t>
      </w:r>
      <w:r>
        <w:rPr>
          <w:b/>
          <w:bCs/>
        </w:rPr>
        <w:t xml:space="preserve">62.8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Iran, Islamic Rep. received a score of 68.3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Iran, Islamic Rep. received a score of 69.9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Iran, Islamic Rep.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Iran, Islamic Rep.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Iran, Islamic Rep.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Iran, Islamic Rep.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Iran, Islamic Rep.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Iran, Islamic Rep.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Iran, Islamic Rep.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Iran, Islamic Rep.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Iran, Islamic Rep.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Iran, Islamic Rep.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Iran, Islamic Rep.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Iran, Islamic Rep.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Iran, Islamic Rep.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Iran, Islamic Rep.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1996,2006,2011,2016</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1986, 1990, 1994, 1998, 2005, 2006, 2009, 2010, 2011, 2012, 2013, 2014, 2015, 2016, 2017, 2018, 2019, 2020, 2021, 2022, 2023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1995, 1997, 2000</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Iran, Islamic Rep.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2016/17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2025-11-25T03:06:12Z</dcterms:created>
  <dcterms:modified xsi:type="dcterms:W3CDTF">2025-11-25T03:06:12Z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Iran, Islamic Rep. Country Report</vt:lpwstr>
  </property>
  <property fmtid="{D5CDD505-2E9C-101B-9397-08002B2CF9AE}" pid="10" name="toc-title">
    <vt:lpwstr>Table of contents</vt:lpwstr>
  </property>
</Properties>
</file>